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520A" w14:textId="4AF50796" w:rsidR="000867AD" w:rsidRDefault="000867AD">
      <w:r>
        <w:rPr>
          <w:noProof/>
        </w:rPr>
        <w:drawing>
          <wp:anchor distT="0" distB="0" distL="114300" distR="114300" simplePos="0" relativeHeight="251658240" behindDoc="1" locked="0" layoutInCell="1" allowOverlap="1" wp14:anchorId="47C0C7EF" wp14:editId="362AC348">
            <wp:simplePos x="0" y="0"/>
            <wp:positionH relativeFrom="column">
              <wp:posOffset>-771525</wp:posOffset>
            </wp:positionH>
            <wp:positionV relativeFrom="paragraph">
              <wp:posOffset>-600074</wp:posOffset>
            </wp:positionV>
            <wp:extent cx="4902740" cy="933450"/>
            <wp:effectExtent l="0" t="0" r="0" b="0"/>
            <wp:wrapNone/>
            <wp:docPr id="296979311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9311" name="Image 1" descr="Une image contenant texte, Police, Graphiqu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91" cy="9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A6F3" w14:textId="1A1C4E50" w:rsidR="001E40B9" w:rsidRDefault="001E40B9"/>
    <w:p w14:paraId="5DFC850A" w14:textId="5D0A8D03" w:rsidR="00D63385" w:rsidRPr="001E40B9" w:rsidRDefault="00C72DDF" w:rsidP="000867AD">
      <w:pPr>
        <w:pStyle w:val="Titre1"/>
        <w:rPr>
          <w:b w:val="0"/>
        </w:rPr>
      </w:pPr>
      <w:r>
        <w:t>Réflexion</w:t>
      </w:r>
      <w:r w:rsidR="001E40B9" w:rsidRPr="001E40B9">
        <w:t> : quand l</w:t>
      </w:r>
      <w:r w:rsidR="004A78E3" w:rsidRPr="001E40B9">
        <w:t>es mots sont politiques</w:t>
      </w:r>
    </w:p>
    <w:p w14:paraId="60D0A269" w14:textId="77777777" w:rsidR="000867AD" w:rsidRDefault="000867AD"/>
    <w:p w14:paraId="0DF29382" w14:textId="000F2A26" w:rsidR="001E40B9" w:rsidRDefault="001E40B9">
      <w:r>
        <w:t>La</w:t>
      </w:r>
      <w:r w:rsidR="00A06C09">
        <w:t xml:space="preserve"> sémiologie (l’étude des signes</w:t>
      </w:r>
      <w:r w:rsidR="00884FBD">
        <w:t xml:space="preserve"> et de leur sens dans leur contexte social</w:t>
      </w:r>
      <w:r w:rsidR="00A06C09">
        <w:t>)</w:t>
      </w:r>
      <w:r>
        <w:t xml:space="preserve"> nous apprend que l</w:t>
      </w:r>
      <w:r w:rsidR="004A78E3">
        <w:t xml:space="preserve">es mots employés renvoient à des concepts et induisent une </w:t>
      </w:r>
      <w:r>
        <w:t>façon de</w:t>
      </w:r>
      <w:r w:rsidR="004A78E3">
        <w:t xml:space="preserve"> </w:t>
      </w:r>
      <w:r>
        <w:t>penser</w:t>
      </w:r>
      <w:r w:rsidR="004A78E3">
        <w:t>.</w:t>
      </w:r>
      <w:r>
        <w:t xml:space="preserve"> </w:t>
      </w:r>
      <w:r w:rsidR="0069796A">
        <w:t>Un champ lexical</w:t>
      </w:r>
      <w:r w:rsidR="00A06C09">
        <w:t>, c’est une</w:t>
      </w:r>
      <w:r w:rsidR="004A78E3">
        <w:t xml:space="preserve"> </w:t>
      </w:r>
      <w:r>
        <w:t>lunette à travers</w:t>
      </w:r>
      <w:r w:rsidR="00A06C09">
        <w:t xml:space="preserve"> laquelle nous voyons la société.</w:t>
      </w:r>
    </w:p>
    <w:p w14:paraId="5FC66EAD" w14:textId="4DF1345E" w:rsidR="00724937" w:rsidRDefault="004A78E3">
      <w:r>
        <w:t>Par exemple, si dans les années 70 et 80, on parlait</w:t>
      </w:r>
      <w:r w:rsidR="00DB0290">
        <w:t>, au sein du mouvement</w:t>
      </w:r>
      <w:r w:rsidR="00CE3D5E">
        <w:t xml:space="preserve"> communautaire</w:t>
      </w:r>
      <w:r w:rsidR="00DB0290">
        <w:t xml:space="preserve">, </w:t>
      </w:r>
      <w:r>
        <w:t xml:space="preserve">de lutte populaire et </w:t>
      </w:r>
      <w:r w:rsidR="00A27CF2">
        <w:t xml:space="preserve">de </w:t>
      </w:r>
      <w:r w:rsidR="00CE3D5E">
        <w:t>groupes militants</w:t>
      </w:r>
      <w:r w:rsidR="00DB0290">
        <w:t>, ces vocables ont progressivement</w:t>
      </w:r>
      <w:r>
        <w:t xml:space="preserve"> </w:t>
      </w:r>
      <w:r w:rsidR="00DB0290">
        <w:t xml:space="preserve">été </w:t>
      </w:r>
      <w:r w:rsidR="00CE3D5E">
        <w:t>remplacés</w:t>
      </w:r>
      <w:r w:rsidR="00DB0290">
        <w:t xml:space="preserve"> par </w:t>
      </w:r>
      <w:r w:rsidR="00DB0290" w:rsidRPr="000B5B3F">
        <w:rPr>
          <w:i/>
          <w:iCs/>
        </w:rPr>
        <w:t>action</w:t>
      </w:r>
      <w:r w:rsidR="000B5B3F">
        <w:t xml:space="preserve"> </w:t>
      </w:r>
      <w:r w:rsidR="00DB0290">
        <w:t>communautaire ou sociale, et</w:t>
      </w:r>
      <w:r w:rsidR="00884FBD">
        <w:t>,</w:t>
      </w:r>
      <w:r w:rsidR="00DB0290">
        <w:t xml:space="preserve"> depuis quelques années</w:t>
      </w:r>
      <w:r w:rsidR="00884FBD">
        <w:t>,</w:t>
      </w:r>
      <w:r w:rsidR="00DB0290">
        <w:t xml:space="preserve"> par des </w:t>
      </w:r>
      <w:r w:rsidR="00CE3D5E">
        <w:t>mots</w:t>
      </w:r>
      <w:r w:rsidR="00DB0290">
        <w:t xml:space="preserve"> issus des modes de production industriel</w:t>
      </w:r>
      <w:r w:rsidR="00486B75">
        <w:t>le</w:t>
      </w:r>
      <w:r w:rsidR="00DB0290">
        <w:t xml:space="preserve"> ou commercial</w:t>
      </w:r>
      <w:r w:rsidR="00486B75">
        <w:t>e</w:t>
      </w:r>
      <w:r w:rsidR="00DB0290">
        <w:t>, tel</w:t>
      </w:r>
      <w:r w:rsidR="000867AD">
        <w:t>s</w:t>
      </w:r>
      <w:r w:rsidR="00DB0290">
        <w:t xml:space="preserve"> </w:t>
      </w:r>
      <w:r w:rsidR="00CE3D5E">
        <w:t xml:space="preserve">que </w:t>
      </w:r>
      <w:r w:rsidR="00DB0290" w:rsidRPr="000B5B3F">
        <w:rPr>
          <w:i/>
          <w:iCs/>
        </w:rPr>
        <w:t>développement</w:t>
      </w:r>
      <w:r w:rsidR="00DB0290">
        <w:t xml:space="preserve"> social, </w:t>
      </w:r>
      <w:r w:rsidR="00CE3D5E">
        <w:t> </w:t>
      </w:r>
      <w:r w:rsidR="00DB0290" w:rsidRPr="000B5B3F">
        <w:rPr>
          <w:i/>
          <w:iCs/>
        </w:rPr>
        <w:t>innovation</w:t>
      </w:r>
      <w:r w:rsidR="00DB0290">
        <w:t xml:space="preserve"> sociale, </w:t>
      </w:r>
      <w:r w:rsidR="00DB0290" w:rsidRPr="000B5B3F">
        <w:rPr>
          <w:i/>
          <w:iCs/>
        </w:rPr>
        <w:t>entreprenariat</w:t>
      </w:r>
      <w:r w:rsidR="00DB0290">
        <w:t xml:space="preserve"> social, </w:t>
      </w:r>
      <w:r w:rsidR="00944140" w:rsidRPr="00944140">
        <w:rPr>
          <w:i/>
          <w:iCs/>
        </w:rPr>
        <w:t>investissement</w:t>
      </w:r>
      <w:r w:rsidR="00944140">
        <w:t xml:space="preserve"> social, </w:t>
      </w:r>
      <w:r w:rsidR="00DB0290">
        <w:t>etc.</w:t>
      </w:r>
      <w:r w:rsidR="00A06C09">
        <w:t xml:space="preserve"> On peut</w:t>
      </w:r>
      <w:r w:rsidR="000B5B3F">
        <w:t xml:space="preserve"> aussi</w:t>
      </w:r>
      <w:r w:rsidR="00A06C09">
        <w:t xml:space="preserve"> penser</w:t>
      </w:r>
      <w:r w:rsidR="000B5B3F">
        <w:t xml:space="preserve"> </w:t>
      </w:r>
      <w:r w:rsidR="00A06C09">
        <w:t xml:space="preserve">au fracas qu’ont fait les mots </w:t>
      </w:r>
      <w:r w:rsidR="0069796A" w:rsidRPr="000B5B3F">
        <w:rPr>
          <w:i/>
          <w:iCs/>
        </w:rPr>
        <w:t>intersectionnalité</w:t>
      </w:r>
      <w:r w:rsidR="00A06C09">
        <w:t xml:space="preserve"> et </w:t>
      </w:r>
      <w:r w:rsidR="00A06C09" w:rsidRPr="000B5B3F">
        <w:rPr>
          <w:i/>
          <w:iCs/>
        </w:rPr>
        <w:t>racisme systémique</w:t>
      </w:r>
      <w:r w:rsidR="00A06C09">
        <w:t xml:space="preserve"> lorsqu’ils ont </w:t>
      </w:r>
      <w:r w:rsidR="000B5B3F">
        <w:t>été introduits</w:t>
      </w:r>
      <w:r w:rsidR="00A06C09">
        <w:t xml:space="preserve"> dans les milieux sociaux il y a quelques années, avant qu’on réalise qu’ils appartenaient au champ lexical </w:t>
      </w:r>
      <w:r w:rsidR="00486B75">
        <w:t>des luttes sociales</w:t>
      </w:r>
      <w:r w:rsidR="00884FBD">
        <w:t>,</w:t>
      </w:r>
      <w:r w:rsidR="00CE3D5E">
        <w:t xml:space="preserve"> </w:t>
      </w:r>
      <w:r w:rsidR="000B5B3F">
        <w:t>qui est à la racine de notre mouvement</w:t>
      </w:r>
      <w:r w:rsidR="00CE3D5E">
        <w:t xml:space="preserve">.  On pouvait </w:t>
      </w:r>
      <w:r w:rsidR="00486B75">
        <w:t xml:space="preserve">donc </w:t>
      </w:r>
      <w:r w:rsidR="00CE3D5E">
        <w:t>les y intégrer (et les concepts auxquels ils réfèrent) sans perdre notre identité</w:t>
      </w:r>
      <w:r w:rsidR="00A06C09">
        <w:t xml:space="preserve">. </w:t>
      </w:r>
    </w:p>
    <w:p w14:paraId="1005B226" w14:textId="3972C620" w:rsidR="004A78E3" w:rsidRDefault="00486B75">
      <w:r>
        <w:t>En décrivant</w:t>
      </w:r>
      <w:r w:rsidR="00724937">
        <w:t xml:space="preserve"> </w:t>
      </w:r>
      <w:r>
        <w:t>nos</w:t>
      </w:r>
      <w:r w:rsidR="00724937">
        <w:t xml:space="preserve"> actions posées, les mots influencent notre façon de voir le monde et orientent nos interventions. </w:t>
      </w:r>
      <w:r w:rsidR="000B5B3F">
        <w:t>Ils</w:t>
      </w:r>
      <w:r w:rsidR="00A06C09">
        <w:t xml:space="preserve"> ne font pas que décrire notre perception du monde</w:t>
      </w:r>
      <w:r w:rsidR="000B5B3F">
        <w:t>; i</w:t>
      </w:r>
      <w:r w:rsidR="00A06C09">
        <w:t>ls l</w:t>
      </w:r>
      <w:r>
        <w:t>a</w:t>
      </w:r>
      <w:r w:rsidR="00A06C09">
        <w:t xml:space="preserve"> forge</w:t>
      </w:r>
      <w:r w:rsidR="000867AD">
        <w:t>nt</w:t>
      </w:r>
      <w:r w:rsidR="00A06C09">
        <w:t>.</w:t>
      </w:r>
      <w:r w:rsidR="00724937">
        <w:t xml:space="preserve"> Ils sont donc politiques.</w:t>
      </w:r>
    </w:p>
    <w:p w14:paraId="6B98C1E0" w14:textId="1F2A6BD0" w:rsidR="00DB0290" w:rsidRDefault="00DB0290" w:rsidP="00DB0290">
      <w:r>
        <w:t xml:space="preserve">Le langage utilisé par les </w:t>
      </w:r>
      <w:r w:rsidR="00A06C09">
        <w:t xml:space="preserve">institutions (ou </w:t>
      </w:r>
      <w:r w:rsidR="000B5B3F">
        <w:t>bailleurs de fonds</w:t>
      </w:r>
      <w:r w:rsidR="00486B75">
        <w:t>,</w:t>
      </w:r>
      <w:r w:rsidR="00A06C09">
        <w:t xml:space="preserve"> ou personnes en position de pouvoir)</w:t>
      </w:r>
      <w:r>
        <w:t xml:space="preserve"> pour nous nommer n</w:t>
      </w:r>
      <w:r w:rsidR="000867AD">
        <w:t>’es</w:t>
      </w:r>
      <w:r>
        <w:t>t pas neutre</w:t>
      </w:r>
      <w:r w:rsidR="00486B75">
        <w:t xml:space="preserve"> non plus</w:t>
      </w:r>
      <w:r w:rsidR="00EA21E2">
        <w:t>. Ils</w:t>
      </w:r>
      <w:r>
        <w:t xml:space="preserve"> participent à nous normer. </w:t>
      </w:r>
      <w:r w:rsidR="000B5B3F">
        <w:t>Ainsi, le mot</w:t>
      </w:r>
      <w:r>
        <w:t xml:space="preserve"> </w:t>
      </w:r>
      <w:r w:rsidRPr="004D087D">
        <w:rPr>
          <w:i/>
          <w:iCs/>
        </w:rPr>
        <w:t>résilience</w:t>
      </w:r>
      <w:r>
        <w:t xml:space="preserve"> </w:t>
      </w:r>
      <w:r w:rsidR="004D087D">
        <w:t>se manifeste</w:t>
      </w:r>
      <w:r>
        <w:t xml:space="preserve"> dans le discours des gouvernements</w:t>
      </w:r>
      <w:r w:rsidR="004D087D">
        <w:t xml:space="preserve">, </w:t>
      </w:r>
      <w:r>
        <w:t xml:space="preserve">de la </w:t>
      </w:r>
      <w:r w:rsidR="000B5B3F">
        <w:t>S</w:t>
      </w:r>
      <w:r>
        <w:t>anté publi</w:t>
      </w:r>
      <w:r w:rsidR="008A54C9">
        <w:t>que</w:t>
      </w:r>
      <w:r w:rsidR="004D087D">
        <w:t xml:space="preserve"> et des universitaires</w:t>
      </w:r>
      <w:r w:rsidR="008A54C9">
        <w:t>, et se fraie</w:t>
      </w:r>
      <w:r w:rsidR="0069796A">
        <w:t xml:space="preserve"> </w:t>
      </w:r>
      <w:r w:rsidR="008A54C9">
        <w:t xml:space="preserve">progressivement un chemin dans les groupes communautaires, profitant du sous-financement chronique dont ils souffrent </w:t>
      </w:r>
      <w:r w:rsidR="00486B75">
        <w:t>et</w:t>
      </w:r>
      <w:r w:rsidR="008A54C9">
        <w:t xml:space="preserve"> orient</w:t>
      </w:r>
      <w:r w:rsidR="00486B75">
        <w:t>ant</w:t>
      </w:r>
      <w:r w:rsidR="008A54C9">
        <w:t xml:space="preserve"> les financements ponctuels</w:t>
      </w:r>
      <w:r w:rsidR="000B5B3F">
        <w:t xml:space="preserve"> (par projet)</w:t>
      </w:r>
      <w:r w:rsidR="008A54C9">
        <w:t xml:space="preserve">. Le petit dernier </w:t>
      </w:r>
      <w:r w:rsidR="0069796A">
        <w:t>du vocable social</w:t>
      </w:r>
      <w:r w:rsidR="008A54C9">
        <w:t xml:space="preserve"> </w:t>
      </w:r>
      <w:r w:rsidR="000B5B3F">
        <w:t>s’est imposé</w:t>
      </w:r>
      <w:r w:rsidR="008A54C9">
        <w:t xml:space="preserve"> </w:t>
      </w:r>
      <w:r w:rsidR="00EA21E2">
        <w:t>à la suite de</w:t>
      </w:r>
      <w:r w:rsidR="008A54C9">
        <w:t xml:space="preserve"> la pandémie, bien qu’il soit apparu </w:t>
      </w:r>
      <w:r w:rsidR="00486B75">
        <w:t>après</w:t>
      </w:r>
      <w:r w:rsidR="008A54C9">
        <w:t xml:space="preserve"> de la tragédie </w:t>
      </w:r>
      <w:r w:rsidR="0069796A">
        <w:t>ferroviaire</w:t>
      </w:r>
      <w:r w:rsidR="008A54C9">
        <w:t xml:space="preserve"> de Lac Mégantic. Nos collègues de l’Estrie ont d’ailleurs rédigé un bulletin fort pertinent à cet effet en 2021, que nous vous invitons fortement à consulter (</w:t>
      </w:r>
      <w:hyperlink r:id="rId8" w:history="1">
        <w:r w:rsidR="00EA21E2">
          <w:rPr>
            <w:rStyle w:val="Lienhypertexte"/>
          </w:rPr>
          <w:t>Bulletin : Les angles mort</w:t>
        </w:r>
        <w:r w:rsidR="000867AD">
          <w:rPr>
            <w:rStyle w:val="Lienhypertexte"/>
          </w:rPr>
          <w:t>s</w:t>
        </w:r>
        <w:r w:rsidR="00EA21E2">
          <w:rPr>
            <w:rStyle w:val="Lienhypertexte"/>
          </w:rPr>
          <w:t xml:space="preserve"> de la vision de la Santé publique</w:t>
        </w:r>
      </w:hyperlink>
      <w:r w:rsidR="008A54C9">
        <w:t xml:space="preserve">). </w:t>
      </w:r>
    </w:p>
    <w:p w14:paraId="0E227B75" w14:textId="7D2CB1E9" w:rsidR="00AD0416" w:rsidRDefault="00724937" w:rsidP="00DB0290">
      <w:r>
        <w:t>Le concept</w:t>
      </w:r>
      <w:r w:rsidR="008A54C9">
        <w:t xml:space="preserve"> de résilience</w:t>
      </w:r>
      <w:r>
        <w:t xml:space="preserve"> et son petit cousin</w:t>
      </w:r>
      <w:r w:rsidR="008A54C9">
        <w:t xml:space="preserve"> </w:t>
      </w:r>
      <w:r>
        <w:t>le</w:t>
      </w:r>
      <w:r w:rsidR="008A54C9">
        <w:t xml:space="preserve"> </w:t>
      </w:r>
      <w:r w:rsidR="008A54C9" w:rsidRPr="00724937">
        <w:rPr>
          <w:i/>
          <w:iCs/>
        </w:rPr>
        <w:t xml:space="preserve">rétablissement </w:t>
      </w:r>
      <w:r w:rsidRPr="00724937">
        <w:rPr>
          <w:i/>
          <w:iCs/>
        </w:rPr>
        <w:t>des communautés</w:t>
      </w:r>
      <w:r>
        <w:t xml:space="preserve"> </w:t>
      </w:r>
      <w:r w:rsidR="008A54C9">
        <w:t>viennent souvent main dans la main. Ils sont maintenant utilisés pour p</w:t>
      </w:r>
      <w:r>
        <w:t>arer</w:t>
      </w:r>
      <w:r w:rsidR="008A54C9">
        <w:t xml:space="preserve"> </w:t>
      </w:r>
      <w:r>
        <w:t>les</w:t>
      </w:r>
      <w:r w:rsidR="008A54C9">
        <w:t xml:space="preserve"> </w:t>
      </w:r>
      <w:r>
        <w:t>effets</w:t>
      </w:r>
      <w:r w:rsidR="008A54C9">
        <w:t xml:space="preserve"> de la crise climatique. Plutôt que d’agir sur les déterminants sociaux de la santé, dans une approche de prévention, on finance les groupes communautaires pour qu’ils préparent les populations vulnérables à </w:t>
      </w:r>
      <w:r w:rsidR="008A54C9" w:rsidRPr="00571B73">
        <w:rPr>
          <w:i/>
          <w:iCs/>
        </w:rPr>
        <w:t>augmenter leur potentiel de résilience</w:t>
      </w:r>
      <w:r w:rsidR="008A54C9">
        <w:t xml:space="preserve"> en cas de catastrophe</w:t>
      </w:r>
      <w:r w:rsidR="004D087D">
        <w:t xml:space="preserve"> climatique</w:t>
      </w:r>
      <w:r w:rsidR="00884FBD">
        <w:t xml:space="preserve">, facilitant par la suite leur </w:t>
      </w:r>
      <w:r w:rsidR="00884FBD" w:rsidRPr="00884FBD">
        <w:rPr>
          <w:i/>
          <w:iCs/>
        </w:rPr>
        <w:t>rétablissement</w:t>
      </w:r>
      <w:r w:rsidR="008A54C9">
        <w:t xml:space="preserve">. </w:t>
      </w:r>
      <w:r w:rsidR="00884FBD">
        <w:t>Ce faisant,</w:t>
      </w:r>
      <w:r w:rsidR="00FD515A">
        <w:t xml:space="preserve"> </w:t>
      </w:r>
      <w:r w:rsidR="00884FBD">
        <w:t>on</w:t>
      </w:r>
      <w:r w:rsidR="00FD515A">
        <w:t xml:space="preserve"> détourne les groupes de leur mission de transformation sociale. Plutôt que de lutter contre </w:t>
      </w:r>
      <w:r>
        <w:t>la pollution</w:t>
      </w:r>
      <w:r w:rsidR="00571B73">
        <w:t xml:space="preserve"> et/ou</w:t>
      </w:r>
      <w:r>
        <w:t xml:space="preserve"> </w:t>
      </w:r>
      <w:r w:rsidR="00FD515A">
        <w:t xml:space="preserve">la pauvreté, on incite les groupes à préparer les personnes pauvres pour qu’elles passent mieux au travers des crises </w:t>
      </w:r>
      <w:r>
        <w:t xml:space="preserve">climatiques (verglas, canicules, </w:t>
      </w:r>
      <w:r w:rsidR="0069796A">
        <w:t>inondations</w:t>
      </w:r>
      <w:r w:rsidR="00571B73">
        <w:t>, Covid</w:t>
      </w:r>
      <w:r>
        <w:t>)</w:t>
      </w:r>
      <w:r w:rsidR="00571B73">
        <w:t>,</w:t>
      </w:r>
      <w:r>
        <w:t xml:space="preserve"> </w:t>
      </w:r>
      <w:r w:rsidR="00FD515A">
        <w:t xml:space="preserve">qui les affectent davantage que la majorité de la population. On va même jusqu’à imputer </w:t>
      </w:r>
      <w:r w:rsidR="00C72DDF">
        <w:t>au milieu communautaire</w:t>
      </w:r>
      <w:r w:rsidR="00571B73">
        <w:t xml:space="preserve"> </w:t>
      </w:r>
      <w:r w:rsidR="00FD515A">
        <w:t xml:space="preserve">un rôle dans </w:t>
      </w:r>
      <w:r w:rsidR="004D087D">
        <w:t xml:space="preserve">la préparation et </w:t>
      </w:r>
      <w:r w:rsidR="00FD515A">
        <w:t xml:space="preserve">l’application de mesures d’urgence, </w:t>
      </w:r>
      <w:r w:rsidR="00AD0416">
        <w:t xml:space="preserve">pour </w:t>
      </w:r>
      <w:r w:rsidR="00884FBD">
        <w:t>compens</w:t>
      </w:r>
      <w:r w:rsidR="00AD0416">
        <w:t xml:space="preserve">er </w:t>
      </w:r>
      <w:r w:rsidR="00884FBD">
        <w:t>l’atrophie des institutions publiques</w:t>
      </w:r>
      <w:r w:rsidR="00FD515A">
        <w:t>.</w:t>
      </w:r>
      <w:r w:rsidR="004D087D">
        <w:t xml:space="preserve"> </w:t>
      </w:r>
      <w:r w:rsidR="00571B73">
        <w:t xml:space="preserve">Il y a une nette différence entre mettre l’épaule à la roue en cas de catastrophe, et </w:t>
      </w:r>
      <w:r w:rsidR="00571B73">
        <w:lastRenderedPageBreak/>
        <w:t>prendre la responsabilité de la préparation en cas de crise, qui relève directement du domaine de la Sécurité publique.</w:t>
      </w:r>
      <w:r w:rsidR="00AD0416">
        <w:t xml:space="preserve"> Du même coup</w:t>
      </w:r>
      <w:r w:rsidR="00571B73">
        <w:t>, on individualise la capacité de rebondir en cas de crise.</w:t>
      </w:r>
    </w:p>
    <w:p w14:paraId="2D98085E" w14:textId="05C1D139" w:rsidR="00F8672C" w:rsidRDefault="00C72DDF" w:rsidP="00DB0290">
      <w:r w:rsidRPr="00C72DDF">
        <w:t>Parallèlement, on voit apparaître certains mots là où on ne les y attendait pas.</w:t>
      </w:r>
      <w:r>
        <w:rPr>
          <w:i/>
          <w:iCs/>
        </w:rPr>
        <w:t xml:space="preserve"> E</w:t>
      </w:r>
      <w:r w:rsidR="00571B73" w:rsidRPr="004D087D">
        <w:rPr>
          <w:i/>
          <w:iCs/>
        </w:rPr>
        <w:t>mpowerment</w:t>
      </w:r>
      <w:r w:rsidR="00571B73">
        <w:t xml:space="preserve"> </w:t>
      </w:r>
      <w:r w:rsidR="00093915">
        <w:t xml:space="preserve">(ou </w:t>
      </w:r>
      <w:r w:rsidR="00093915" w:rsidRPr="007F0DDB">
        <w:rPr>
          <w:i/>
          <w:iCs/>
        </w:rPr>
        <w:t>agentivité</w:t>
      </w:r>
      <w:r w:rsidR="00093915">
        <w:t xml:space="preserve">) </w:t>
      </w:r>
      <w:r>
        <w:t xml:space="preserve">est utilisé dans certains secteurs du Réseau de la santé </w:t>
      </w:r>
      <w:r w:rsidR="00BA64C3">
        <w:t xml:space="preserve">comme un synonyme de « rendre autonome », c’est-à-dire qu’on vise à développer la capacité de l’individu à se passer des services de l’État, et justifier </w:t>
      </w:r>
      <w:r w:rsidR="003C5469">
        <w:t xml:space="preserve">ainsi </w:t>
      </w:r>
      <w:r w:rsidR="00BA64C3">
        <w:t>la fin des services</w:t>
      </w:r>
      <w:r w:rsidR="00BA64C3">
        <w:rPr>
          <w:rStyle w:val="Accentuation"/>
          <w:i w:val="0"/>
          <w:iCs w:val="0"/>
          <w:color w:val="101010"/>
          <w:shd w:val="clear" w:color="auto" w:fill="FFFFFF"/>
        </w:rPr>
        <w:t xml:space="preserve">. </w:t>
      </w:r>
      <w:r w:rsidR="00FD515A">
        <w:t>Pensons</w:t>
      </w:r>
      <w:r w:rsidR="003C5469">
        <w:t xml:space="preserve"> </w:t>
      </w:r>
      <w:r w:rsidR="0069796A">
        <w:t>aux guides</w:t>
      </w:r>
      <w:r w:rsidR="00FD515A">
        <w:t xml:space="preserve"> d’autosoins</w:t>
      </w:r>
      <w:r w:rsidR="004435C5">
        <w:t>,</w:t>
      </w:r>
      <w:r w:rsidR="00FD515A">
        <w:t xml:space="preserve"> de plus en plus </w:t>
      </w:r>
      <w:r w:rsidR="0069796A">
        <w:t>répandus</w:t>
      </w:r>
      <w:r w:rsidR="00F8672C">
        <w:t xml:space="preserve">, </w:t>
      </w:r>
      <w:r w:rsidR="00BA64C3">
        <w:t xml:space="preserve">considérés </w:t>
      </w:r>
      <w:r w:rsidR="00F8672C">
        <w:t>comme un « service rendu »</w:t>
      </w:r>
      <w:r w:rsidR="00511FB6">
        <w:t>. U</w:t>
      </w:r>
      <w:r w:rsidR="00F8672C">
        <w:t>n guide d’autosoins distribué = un patient desservi</w:t>
      </w:r>
      <w:r w:rsidR="00571B73">
        <w:t>, et hop</w:t>
      </w:r>
      <w:r w:rsidR="00F8672C">
        <w:t xml:space="preserve">! </w:t>
      </w:r>
      <w:r w:rsidR="004435C5">
        <w:t>l</w:t>
      </w:r>
      <w:r w:rsidR="00571B73">
        <w:t xml:space="preserve">a personne </w:t>
      </w:r>
      <w:r w:rsidR="00BA64C3">
        <w:t>n’est plus « en attente de service » dans les statistiques</w:t>
      </w:r>
      <w:r w:rsidR="00571B73">
        <w:t xml:space="preserve">! </w:t>
      </w:r>
      <w:r w:rsidR="003C5469">
        <w:t>On</w:t>
      </w:r>
      <w:r w:rsidR="00724937">
        <w:t xml:space="preserve"> n’aborde pas la source</w:t>
      </w:r>
      <w:r w:rsidR="004435C5">
        <w:t xml:space="preserve"> des maux</w:t>
      </w:r>
      <w:r w:rsidR="00724937">
        <w:t xml:space="preserve">, par exemple, </w:t>
      </w:r>
      <w:r w:rsidR="004435C5">
        <w:t>une situation qui cause une détresse</w:t>
      </w:r>
      <w:r w:rsidR="00724937">
        <w:t>, mais on apprend à vivre avec, à coups de bain</w:t>
      </w:r>
      <w:r w:rsidR="00AD0416">
        <w:t>s</w:t>
      </w:r>
      <w:r w:rsidR="00724937">
        <w:t xml:space="preserve"> moussants et d’aromathérapie. </w:t>
      </w:r>
      <w:r w:rsidR="003C5469">
        <w:t>Pensons aussi</w:t>
      </w:r>
      <w:r w:rsidR="00F8672C">
        <w:t xml:space="preserve"> à la </w:t>
      </w:r>
      <w:r w:rsidR="00F8672C" w:rsidRPr="00AD0416">
        <w:rPr>
          <w:i/>
          <w:iCs/>
        </w:rPr>
        <w:t>proche-</w:t>
      </w:r>
      <w:proofErr w:type="spellStart"/>
      <w:r w:rsidR="00F8672C" w:rsidRPr="00AD0416">
        <w:rPr>
          <w:i/>
          <w:iCs/>
        </w:rPr>
        <w:t>aidance</w:t>
      </w:r>
      <w:proofErr w:type="spellEnd"/>
      <w:r w:rsidR="00511FB6">
        <w:t xml:space="preserve">, </w:t>
      </w:r>
      <w:r w:rsidR="003C5469">
        <w:t>dont</w:t>
      </w:r>
      <w:r w:rsidR="00511FB6">
        <w:t xml:space="preserve"> un o</w:t>
      </w:r>
      <w:r w:rsidR="0069796A">
        <w:t>bjectif</w:t>
      </w:r>
      <w:r w:rsidR="00511FB6">
        <w:t xml:space="preserve"> </w:t>
      </w:r>
      <w:r w:rsidR="0069796A">
        <w:t>clinique</w:t>
      </w:r>
      <w:r w:rsidR="00F8672C">
        <w:t xml:space="preserve"> est </w:t>
      </w:r>
      <w:r w:rsidR="00F8672C" w:rsidRPr="004435C5">
        <w:t xml:space="preserve">de modifier la perception </w:t>
      </w:r>
      <w:r w:rsidR="00AD0416">
        <w:t>qu’a</w:t>
      </w:r>
      <w:r w:rsidR="004435C5" w:rsidRPr="004435C5">
        <w:t xml:space="preserve"> la personne proche-aidante de son</w:t>
      </w:r>
      <w:r w:rsidR="00F8672C" w:rsidRPr="004435C5">
        <w:t xml:space="preserve"> rôle</w:t>
      </w:r>
      <w:r w:rsidR="00F8672C">
        <w:t>, pour qu’elle voit son expérience non pas comme un fardeau, mais comme une expérience positive</w:t>
      </w:r>
      <w:r w:rsidR="00AD0416">
        <w:t xml:space="preserve"> d’accomplissement de soi</w:t>
      </w:r>
      <w:r w:rsidR="00F8672C">
        <w:t>. La personne qui cherche de l’aide (aide à domicile</w:t>
      </w:r>
      <w:r w:rsidR="00927BF9">
        <w:t>,</w:t>
      </w:r>
      <w:r w:rsidR="00F8672C">
        <w:t xml:space="preserve"> par exemple) se voit plutôt offrir des séances de renforcement positif</w:t>
      </w:r>
      <w:r w:rsidR="00093915">
        <w:t xml:space="preserve"> (</w:t>
      </w:r>
      <w:r w:rsidR="00093915" w:rsidRPr="00EA21E2">
        <w:rPr>
          <w:i/>
          <w:iCs/>
        </w:rPr>
        <w:t>empowerment</w:t>
      </w:r>
      <w:r w:rsidR="00093915">
        <w:t>)</w:t>
      </w:r>
      <w:r w:rsidR="00F8672C">
        <w:t>. Voilà un problème réglé pour beaucoup moins cher! Cette personne proche-aidante est maintenant plus résiliente.</w:t>
      </w:r>
      <w:r w:rsidR="003C5469">
        <w:t xml:space="preserve"> </w:t>
      </w:r>
      <w:r w:rsidR="003C5469" w:rsidRPr="00BA64C3">
        <w:rPr>
          <w:i/>
          <w:iCs/>
        </w:rPr>
        <w:t>L’empowerment</w:t>
      </w:r>
      <w:r w:rsidR="000867AD">
        <w:rPr>
          <w:i/>
          <w:iCs/>
        </w:rPr>
        <w:t>,</w:t>
      </w:r>
      <w:r w:rsidR="003C5469">
        <w:t xml:space="preserve"> comme processus de reprise de pouvoir pour agir sur ses conditions de vie individuelles et collectives</w:t>
      </w:r>
      <w:r w:rsidR="000867AD">
        <w:t>,</w:t>
      </w:r>
      <w:r w:rsidR="003C5469">
        <w:t xml:space="preserve"> a été détourné de son sens politique.</w:t>
      </w:r>
    </w:p>
    <w:p w14:paraId="6B008683" w14:textId="3721FF53" w:rsidR="00967D49" w:rsidRPr="00093915" w:rsidRDefault="004435C5" w:rsidP="00DB0290">
      <w:pPr>
        <w:rPr>
          <w:color w:val="101010"/>
          <w:shd w:val="clear" w:color="auto" w:fill="FFFFFF"/>
        </w:rPr>
      </w:pPr>
      <w:r>
        <w:t>Ces détournements de sens</w:t>
      </w:r>
      <w:r w:rsidR="003C5469">
        <w:t xml:space="preserve"> </w:t>
      </w:r>
      <w:r>
        <w:t xml:space="preserve">révèlent une volonté </w:t>
      </w:r>
      <w:r w:rsidR="00093915">
        <w:t>de</w:t>
      </w:r>
      <w:r>
        <w:t xml:space="preserve"> désengagement de l’État, que nous devrions en plus accueillir dans la bonne humeur</w:t>
      </w:r>
      <w:r w:rsidR="003C5469">
        <w:t xml:space="preserve">. </w:t>
      </w:r>
      <w:r w:rsidR="00F8672C">
        <w:t xml:space="preserve">Dans le monde de la résilience, l’esprit critique est perçu </w:t>
      </w:r>
      <w:r w:rsidR="007F0DDB">
        <w:t>négativement</w:t>
      </w:r>
      <w:r w:rsidR="00F8672C">
        <w:t xml:space="preserve">. Nommer les injustices ou les oppressions est contre-productif. </w:t>
      </w:r>
      <w:r w:rsidR="00967D49">
        <w:t>Tenter de les réduire n’est donc pas une option. Agir sur les causes (la pauvreté, la pollution, les discriminations, la maladie) n’est p</w:t>
      </w:r>
      <w:r w:rsidR="00093915">
        <w:t>lus</w:t>
      </w:r>
      <w:r w:rsidR="00967D49">
        <w:t xml:space="preserve"> </w:t>
      </w:r>
      <w:r w:rsidR="007F0DDB">
        <w:t>nécessaire</w:t>
      </w:r>
      <w:r w:rsidR="00967D49">
        <w:t xml:space="preserve">, </w:t>
      </w:r>
      <w:r w:rsidR="007F0DDB">
        <w:t>puisque</w:t>
      </w:r>
      <w:r w:rsidR="00967D49">
        <w:t xml:space="preserve"> les personnes opprimées acceptent d</w:t>
      </w:r>
      <w:r w:rsidR="00AD0416">
        <w:t xml:space="preserve">’en </w:t>
      </w:r>
      <w:r w:rsidR="00967D49">
        <w:t>subir les conséquences</w:t>
      </w:r>
      <w:r w:rsidR="00AD0416">
        <w:t xml:space="preserve"> comme des fatalités, plutôt que comme</w:t>
      </w:r>
      <w:r w:rsidR="00967D49">
        <w:t xml:space="preserve"> </w:t>
      </w:r>
      <w:r w:rsidR="00AD0416">
        <w:t xml:space="preserve">des conséquences </w:t>
      </w:r>
      <w:r w:rsidR="00967D49">
        <w:t>de nos choix collectifs</w:t>
      </w:r>
      <w:r w:rsidR="00093915">
        <w:t xml:space="preserve">. Les groupes communautaires sont appelés à </w:t>
      </w:r>
      <w:r w:rsidR="00511FB6">
        <w:t>devenir</w:t>
      </w:r>
      <w:r w:rsidR="00093915">
        <w:t xml:space="preserve"> des agents d’adaptations aux injustices plutôt que des agents de transformation sociale.</w:t>
      </w:r>
    </w:p>
    <w:p w14:paraId="51D92959" w14:textId="7F24576C" w:rsidR="00B57FD0" w:rsidRDefault="00093915" w:rsidP="00DB0290">
      <w:r>
        <w:t xml:space="preserve">C’est ce même procédé (imposition de mots et donc, de concepts et de vision du monde) qui a permis à </w:t>
      </w:r>
      <w:r w:rsidR="00967D49" w:rsidRPr="00093915">
        <w:rPr>
          <w:i/>
          <w:iCs/>
        </w:rPr>
        <w:t>l’</w:t>
      </w:r>
      <w:r w:rsidR="00927BF9">
        <w:rPr>
          <w:i/>
          <w:iCs/>
        </w:rPr>
        <w:t>é</w:t>
      </w:r>
      <w:r w:rsidR="00967D49" w:rsidRPr="00093915">
        <w:rPr>
          <w:i/>
          <w:iCs/>
        </w:rPr>
        <w:t>quité territoriale</w:t>
      </w:r>
      <w:r w:rsidR="00967D49">
        <w:t xml:space="preserve"> </w:t>
      </w:r>
      <w:r>
        <w:t>de remplacer l’équité entre les personnes</w:t>
      </w:r>
      <w:r w:rsidR="007F0DDB">
        <w:t xml:space="preserve"> ou les classes sociales</w:t>
      </w:r>
      <w:r>
        <w:t xml:space="preserve"> </w:t>
      </w:r>
      <w:r w:rsidR="007F0DDB">
        <w:t>(</w:t>
      </w:r>
      <w:r>
        <w:t>justice sociale</w:t>
      </w:r>
      <w:r w:rsidR="007F0DDB">
        <w:t>)</w:t>
      </w:r>
      <w:r w:rsidR="00967D49">
        <w:t xml:space="preserve">. </w:t>
      </w:r>
      <w:r w:rsidR="00687161">
        <w:t>Cette conception de l’équité</w:t>
      </w:r>
      <w:r w:rsidR="00967D49">
        <w:t xml:space="preserve"> ne vise pas à </w:t>
      </w:r>
      <w:r w:rsidR="00687161">
        <w:t xml:space="preserve">mieux </w:t>
      </w:r>
      <w:r w:rsidR="00967D49">
        <w:t xml:space="preserve">répartir la richesse, mais bien à répartir </w:t>
      </w:r>
      <w:r w:rsidR="00967D49" w:rsidRPr="00093915">
        <w:rPr>
          <w:i/>
          <w:iCs/>
        </w:rPr>
        <w:t>équitablement</w:t>
      </w:r>
      <w:r w:rsidR="00967D49">
        <w:t xml:space="preserve"> les mesures de mitigation de la pauvreté</w:t>
      </w:r>
      <w:r>
        <w:t xml:space="preserve"> (les miettes, quoi!)</w:t>
      </w:r>
      <w:r w:rsidR="00967D49">
        <w:t xml:space="preserve">. </w:t>
      </w:r>
      <w:r w:rsidR="00BD0FE3">
        <w:t>En faisant du territoire le sujet d’intervention, on fait disparaitre les personnes elles-mêmes. On peut ainsi jouer avec les statistiques sur une carte</w:t>
      </w:r>
      <w:r w:rsidR="00687161">
        <w:t>, e</w:t>
      </w:r>
      <w:r w:rsidR="00BD0FE3">
        <w:t xml:space="preserve">t atteindre nos objectifs d’équité en y juxtaposant des probabilités. Ainsi, de 10 ressources d’aide sur le territoire A et 12 ressources sur le territoire B, on aura réussi un exercice d’équité en </w:t>
      </w:r>
      <w:r w:rsidR="002C7F08">
        <w:t>distribuant</w:t>
      </w:r>
      <w:r w:rsidR="00BD0FE3">
        <w:t xml:space="preserve"> autrement nos 22 ressources</w:t>
      </w:r>
      <w:r w:rsidR="002C7F08">
        <w:t>,</w:t>
      </w:r>
      <w:r w:rsidR="00BD0FE3">
        <w:t xml:space="preserve"> en fonction</w:t>
      </w:r>
      <w:r w:rsidR="00687161">
        <w:t xml:space="preserve"> de critères de défavorisation qu’on aura sélectionnés. Mais on n’aura pas diminué la défavorisation. On n’aura pas sorti plus de personnes de la pauvreté. On n’aura pas donné plus de chances à </w:t>
      </w:r>
      <w:r w:rsidR="003618B1">
        <w:t>un plus grand nombre</w:t>
      </w:r>
      <w:r w:rsidR="00687161">
        <w:t xml:space="preserve"> de personnes. On n’aura pas distribué plus de pain. On </w:t>
      </w:r>
      <w:r w:rsidR="003618B1">
        <w:t xml:space="preserve">en </w:t>
      </w:r>
      <w:r w:rsidR="00687161">
        <w:t>aura distribué les miettes autrement</w:t>
      </w:r>
      <w:r w:rsidR="008920AC">
        <w:t xml:space="preserve">. </w:t>
      </w:r>
      <w:r w:rsidR="00687161">
        <w:t xml:space="preserve">On aura </w:t>
      </w:r>
      <w:r w:rsidR="007F0DDB">
        <w:t xml:space="preserve">réparti </w:t>
      </w:r>
      <w:r w:rsidR="008920AC">
        <w:t xml:space="preserve">équitablement </w:t>
      </w:r>
      <w:r w:rsidR="003618B1">
        <w:t xml:space="preserve">la </w:t>
      </w:r>
      <w:r w:rsidR="008920AC">
        <w:t xml:space="preserve">faim. </w:t>
      </w:r>
      <w:r w:rsidR="007F0AB4">
        <w:t>E</w:t>
      </w:r>
      <w:r w:rsidR="008920AC">
        <w:t xml:space="preserve">n contemplant la carte des </w:t>
      </w:r>
      <w:r w:rsidR="000867AD">
        <w:t>t</w:t>
      </w:r>
      <w:r w:rsidR="008920AC">
        <w:t>erritoires, nous seron</w:t>
      </w:r>
      <w:r w:rsidR="007F0DDB">
        <w:t>s</w:t>
      </w:r>
      <w:r w:rsidR="008920AC">
        <w:t xml:space="preserve"> satisfaits de cette</w:t>
      </w:r>
      <w:r w:rsidR="003618B1">
        <w:t xml:space="preserve"> abstraction d’</w:t>
      </w:r>
      <w:r w:rsidR="008920AC" w:rsidRPr="008920AC">
        <w:rPr>
          <w:i/>
          <w:iCs/>
        </w:rPr>
        <w:t>équité</w:t>
      </w:r>
      <w:r w:rsidR="008920AC">
        <w:t xml:space="preserve"> atteinte. Et</w:t>
      </w:r>
      <w:r w:rsidR="007F0AB4">
        <w:t>,</w:t>
      </w:r>
      <w:r w:rsidR="008920AC">
        <w:t xml:space="preserve"> en passant, nous aurons mis les habitants des territoires en compétition les uns contre les autres, se battant pour obtenir les miettes, en oubliant </w:t>
      </w:r>
      <w:r w:rsidR="00D3187C">
        <w:t>de demander l’</w:t>
      </w:r>
      <w:r w:rsidR="008920AC">
        <w:t>accès à la boulangerie.</w:t>
      </w:r>
      <w:r w:rsidR="00D3187C">
        <w:t xml:space="preserve"> </w:t>
      </w:r>
      <w:r w:rsidR="007F0AB4">
        <w:t>E</w:t>
      </w:r>
      <w:r w:rsidR="007F0DDB">
        <w:t>n localisant les enjeux sociaux, o</w:t>
      </w:r>
      <w:r w:rsidR="00D3187C">
        <w:t>n</w:t>
      </w:r>
      <w:r w:rsidR="003618B1">
        <w:t xml:space="preserve"> </w:t>
      </w:r>
      <w:r w:rsidR="00D3187C">
        <w:t xml:space="preserve">travaillera </w:t>
      </w:r>
      <w:r w:rsidR="003618B1">
        <w:t>moins</w:t>
      </w:r>
      <w:r w:rsidR="00D3187C">
        <w:t xml:space="preserve"> à</w:t>
      </w:r>
      <w:r w:rsidR="00C74A90">
        <w:t xml:space="preserve"> l’instauration de mesures universelles</w:t>
      </w:r>
      <w:r w:rsidR="009537CF">
        <w:t xml:space="preserve">, </w:t>
      </w:r>
      <w:r w:rsidR="00C74A90">
        <w:t>par exemple</w:t>
      </w:r>
      <w:r w:rsidR="009537CF">
        <w:t xml:space="preserve">, </w:t>
      </w:r>
      <w:r w:rsidR="00C74A90">
        <w:t xml:space="preserve">l’augmentation de </w:t>
      </w:r>
      <w:r w:rsidR="002C7F08">
        <w:t>l’aide de dernier recours</w:t>
      </w:r>
      <w:r w:rsidR="00C74A90">
        <w:t xml:space="preserve">, l’accès aux programmes sociaux pour les personnes </w:t>
      </w:r>
      <w:r w:rsidR="00E010A7">
        <w:t>migrantes</w:t>
      </w:r>
      <w:r w:rsidR="00C74A90">
        <w:t xml:space="preserve"> ou </w:t>
      </w:r>
      <w:r w:rsidR="00D3187C">
        <w:t xml:space="preserve">l’instauration de </w:t>
      </w:r>
      <w:r w:rsidR="00E010A7">
        <w:t>services</w:t>
      </w:r>
      <w:r w:rsidR="00C74A90">
        <w:t xml:space="preserve"> alimentaire</w:t>
      </w:r>
      <w:r w:rsidR="00D3187C">
        <w:t>s</w:t>
      </w:r>
      <w:r w:rsidR="00B57FD0">
        <w:t xml:space="preserve"> gratuits ou abordable</w:t>
      </w:r>
      <w:r w:rsidR="00C74A90">
        <w:t xml:space="preserve"> dans toutes les écoles.</w:t>
      </w:r>
      <w:r w:rsidR="00967D49">
        <w:t xml:space="preserve"> </w:t>
      </w:r>
    </w:p>
    <w:p w14:paraId="2E7F4DB4" w14:textId="28154DBB" w:rsidR="00967D49" w:rsidRDefault="00E010A7" w:rsidP="00DB0290">
      <w:r>
        <w:lastRenderedPageBreak/>
        <w:t xml:space="preserve">Ces </w:t>
      </w:r>
      <w:r w:rsidR="00B57FD0">
        <w:t>mots-</w:t>
      </w:r>
      <w:r>
        <w:t>concepts</w:t>
      </w:r>
      <w:r w:rsidR="00B57FD0">
        <w:t xml:space="preserve"> </w:t>
      </w:r>
      <w:r>
        <w:t>forgent notre pensé</w:t>
      </w:r>
      <w:r w:rsidR="00B57FD0">
        <w:t>e</w:t>
      </w:r>
      <w:r>
        <w:t xml:space="preserve"> et influence nos actions, notamment par le biais des </w:t>
      </w:r>
      <w:r w:rsidR="007F0DDB">
        <w:t xml:space="preserve">programmes de </w:t>
      </w:r>
      <w:r>
        <w:t xml:space="preserve">financements non récurrents en provenance </w:t>
      </w:r>
      <w:r w:rsidR="009537CF">
        <w:t>des municipalités</w:t>
      </w:r>
      <w:r w:rsidR="007F0DDB">
        <w:t xml:space="preserve"> et </w:t>
      </w:r>
      <w:r w:rsidR="009537CF">
        <w:t>des Directions régionales de santé publique</w:t>
      </w:r>
      <w:r>
        <w:t>.</w:t>
      </w:r>
      <w:r w:rsidR="001E40B9">
        <w:t xml:space="preserve"> </w:t>
      </w:r>
      <w:r w:rsidR="00944140">
        <w:t>Les plus habiles à</w:t>
      </w:r>
      <w:r w:rsidR="007F0DDB">
        <w:t xml:space="preserve"> maitriser le vocabulaire des cadres de programmes remporte</w:t>
      </w:r>
      <w:r w:rsidR="00944140">
        <w:t xml:space="preserve">nt la loto-financement. Dans ce contexte, comment prétendre à l’adéquation entre les </w:t>
      </w:r>
      <w:r w:rsidR="00944140" w:rsidRPr="00944140">
        <w:rPr>
          <w:i/>
          <w:iCs/>
        </w:rPr>
        <w:t>investissements sociaux</w:t>
      </w:r>
      <w:r w:rsidR="00944140">
        <w:t xml:space="preserve"> et les besoins constatés sur le terrain</w:t>
      </w:r>
      <w:r w:rsidR="009537CF">
        <w:t>?</w:t>
      </w:r>
      <w:r w:rsidR="007F0DDB">
        <w:t xml:space="preserve">  </w:t>
      </w:r>
      <w:r w:rsidR="003618B1">
        <w:t xml:space="preserve">Comment poursuivre la lutte sans ne jamais la nommer? </w:t>
      </w:r>
      <w:r w:rsidR="001E40B9">
        <w:t xml:space="preserve">Les mots sont politiques. Choisir </w:t>
      </w:r>
      <w:r w:rsidR="0069796A">
        <w:t>un champ lexical</w:t>
      </w:r>
      <w:r w:rsidR="001E40B9">
        <w:t xml:space="preserve"> n’est pas neutre. Se réapproprier celui </w:t>
      </w:r>
      <w:r w:rsidR="003618B1">
        <w:t>des oppressions</w:t>
      </w:r>
      <w:r w:rsidR="001E40B9">
        <w:t xml:space="preserve"> </w:t>
      </w:r>
      <w:r w:rsidR="003618B1">
        <w:t>devrait demeurer</w:t>
      </w:r>
      <w:r w:rsidR="00B57FD0">
        <w:t xml:space="preserve"> </w:t>
      </w:r>
      <w:r w:rsidR="003618B1">
        <w:t>une avenue légitime</w:t>
      </w:r>
      <w:r w:rsidR="001E40B9">
        <w:t>.</w:t>
      </w:r>
    </w:p>
    <w:p w14:paraId="2C933443" w14:textId="77777777" w:rsidR="00967D49" w:rsidRDefault="00967D49" w:rsidP="00DB0290"/>
    <w:p w14:paraId="4F1AD691" w14:textId="77777777" w:rsidR="00967D49" w:rsidRDefault="00967D49" w:rsidP="00DB0290"/>
    <w:p w14:paraId="600CDD81" w14:textId="77777777" w:rsidR="00F8672C" w:rsidRDefault="00F8672C" w:rsidP="00DB0290"/>
    <w:p w14:paraId="6BBB3161" w14:textId="77777777" w:rsidR="008A54C9" w:rsidRDefault="008A54C9" w:rsidP="00DB0290"/>
    <w:p w14:paraId="628F7F50" w14:textId="77777777" w:rsidR="008A54C9" w:rsidRDefault="008A54C9" w:rsidP="00DB0290"/>
    <w:p w14:paraId="4613C762" w14:textId="3272B179" w:rsidR="004A78E3" w:rsidRDefault="004A78E3"/>
    <w:sectPr w:rsidR="004A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53F" w14:textId="77777777" w:rsidR="004D087D" w:rsidRDefault="004D087D" w:rsidP="004D087D">
      <w:pPr>
        <w:spacing w:after="0" w:line="240" w:lineRule="auto"/>
      </w:pPr>
      <w:r>
        <w:separator/>
      </w:r>
    </w:p>
  </w:endnote>
  <w:endnote w:type="continuationSeparator" w:id="0">
    <w:p w14:paraId="337A871C" w14:textId="77777777" w:rsidR="004D087D" w:rsidRDefault="004D087D" w:rsidP="004D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C16B" w14:textId="77777777" w:rsidR="000867AD" w:rsidRDefault="000867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64B1" w14:textId="77777777" w:rsidR="000867AD" w:rsidRDefault="000867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F6E1" w14:textId="77777777" w:rsidR="000867AD" w:rsidRDefault="00086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FAE" w14:textId="77777777" w:rsidR="004D087D" w:rsidRDefault="004D087D" w:rsidP="004D087D">
      <w:pPr>
        <w:spacing w:after="0" w:line="240" w:lineRule="auto"/>
      </w:pPr>
      <w:r>
        <w:separator/>
      </w:r>
    </w:p>
  </w:footnote>
  <w:footnote w:type="continuationSeparator" w:id="0">
    <w:p w14:paraId="1EFE6ED8" w14:textId="77777777" w:rsidR="004D087D" w:rsidRDefault="004D087D" w:rsidP="004D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3937" w14:textId="77777777" w:rsidR="000867AD" w:rsidRDefault="000867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96A6" w14:textId="77777777" w:rsidR="000867AD" w:rsidRDefault="000867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4A4" w14:textId="77777777" w:rsidR="000867AD" w:rsidRDefault="000867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73"/>
    <w:rsid w:val="000867AD"/>
    <w:rsid w:val="00093915"/>
    <w:rsid w:val="000B5B3F"/>
    <w:rsid w:val="001E40B9"/>
    <w:rsid w:val="002C7F08"/>
    <w:rsid w:val="003618B1"/>
    <w:rsid w:val="003C5469"/>
    <w:rsid w:val="003D3173"/>
    <w:rsid w:val="00420612"/>
    <w:rsid w:val="004435C5"/>
    <w:rsid w:val="00486B75"/>
    <w:rsid w:val="004A78E3"/>
    <w:rsid w:val="004D087D"/>
    <w:rsid w:val="00511FB6"/>
    <w:rsid w:val="00571B73"/>
    <w:rsid w:val="00687161"/>
    <w:rsid w:val="0069796A"/>
    <w:rsid w:val="006C1A94"/>
    <w:rsid w:val="00724937"/>
    <w:rsid w:val="007F0AB4"/>
    <w:rsid w:val="007F0DDB"/>
    <w:rsid w:val="00884FBD"/>
    <w:rsid w:val="008920AC"/>
    <w:rsid w:val="008A54C9"/>
    <w:rsid w:val="00927BF9"/>
    <w:rsid w:val="009376B5"/>
    <w:rsid w:val="00944140"/>
    <w:rsid w:val="009537CF"/>
    <w:rsid w:val="00967D49"/>
    <w:rsid w:val="00A06C09"/>
    <w:rsid w:val="00A27CF2"/>
    <w:rsid w:val="00AD0416"/>
    <w:rsid w:val="00B3009C"/>
    <w:rsid w:val="00B57FD0"/>
    <w:rsid w:val="00BA64C3"/>
    <w:rsid w:val="00BD0FE3"/>
    <w:rsid w:val="00C72DDF"/>
    <w:rsid w:val="00C74A90"/>
    <w:rsid w:val="00CE3D5E"/>
    <w:rsid w:val="00D3187C"/>
    <w:rsid w:val="00D63385"/>
    <w:rsid w:val="00DB0290"/>
    <w:rsid w:val="00E010A7"/>
    <w:rsid w:val="00EA21E2"/>
    <w:rsid w:val="00F8672C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685D"/>
  <w15:chartTrackingRefBased/>
  <w15:docId w15:val="{97B8A0D1-7F00-4D8D-98BB-9914991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67AD"/>
    <w:pPr>
      <w:keepNext/>
      <w:keepLines/>
      <w:spacing w:before="240" w:after="0"/>
      <w:outlineLvl w:val="0"/>
    </w:pPr>
    <w:rPr>
      <w:rFonts w:ascii="Roboto" w:eastAsiaTheme="majorEastAsia" w:hAnsi="Roboto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1A9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3385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4D087D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08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08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08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86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7AD"/>
  </w:style>
  <w:style w:type="paragraph" w:styleId="Pieddepage">
    <w:name w:val="footer"/>
    <w:basedOn w:val="Normal"/>
    <w:link w:val="PieddepageCar"/>
    <w:uiPriority w:val="99"/>
    <w:unhideWhenUsed/>
    <w:rsid w:val="00086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7AD"/>
  </w:style>
  <w:style w:type="character" w:customStyle="1" w:styleId="Titre1Car">
    <w:name w:val="Titre 1 Car"/>
    <w:basedOn w:val="Policepardfaut"/>
    <w:link w:val="Titre1"/>
    <w:uiPriority w:val="9"/>
    <w:rsid w:val="000867AD"/>
    <w:rPr>
      <w:rFonts w:ascii="Roboto" w:eastAsiaTheme="majorEastAsia" w:hAnsi="Roboto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estrie.org/fr/pour-mieux-vivre-en-societe-en-contexte-de-pandemie-la-resilience-collective-en-question?ssid=88s8t4ydbvxzwcb&amp;ssname=off_bulletin_no1_vf_8x11_resol.bass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149A-380C-4537-9973-7884810B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Painchaud-Mathieu</dc:creator>
  <cp:keywords/>
  <dc:description/>
  <cp:lastModifiedBy>Lucie Poulin</cp:lastModifiedBy>
  <cp:revision>18</cp:revision>
  <dcterms:created xsi:type="dcterms:W3CDTF">2023-12-07T22:34:00Z</dcterms:created>
  <dcterms:modified xsi:type="dcterms:W3CDTF">2024-01-10T14:09:00Z</dcterms:modified>
</cp:coreProperties>
</file>