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30AB" w14:textId="77777777" w:rsidR="004E6404" w:rsidRPr="00951830" w:rsidRDefault="004E6404" w:rsidP="004E6404">
      <w:pPr>
        <w:pStyle w:val="NormalWeb"/>
        <w:shd w:val="clear" w:color="auto" w:fill="FFFFFF"/>
        <w:spacing w:before="0" w:beforeAutospacing="0" w:after="0" w:afterAutospacing="0"/>
        <w:jc w:val="center"/>
        <w:rPr>
          <w:rFonts w:ascii="Roboto" w:hAnsi="Roboto" w:cstheme="minorHAnsi"/>
          <w:b/>
          <w:bCs/>
          <w:color w:val="1C1E21"/>
          <w:sz w:val="22"/>
          <w:szCs w:val="22"/>
        </w:rPr>
      </w:pPr>
    </w:p>
    <w:p w14:paraId="5D192FEA" w14:textId="77777777" w:rsidR="00951830" w:rsidRPr="00951830" w:rsidRDefault="00951830" w:rsidP="004E6404">
      <w:pPr>
        <w:pStyle w:val="NormalWeb"/>
        <w:shd w:val="clear" w:color="auto" w:fill="FFFFFF"/>
        <w:spacing w:before="0" w:beforeAutospacing="0" w:after="0" w:afterAutospacing="0"/>
        <w:jc w:val="center"/>
        <w:rPr>
          <w:rFonts w:ascii="Roboto" w:hAnsi="Roboto" w:cstheme="minorHAnsi"/>
          <w:b/>
          <w:bCs/>
          <w:color w:val="1C1E21"/>
          <w:sz w:val="22"/>
          <w:szCs w:val="22"/>
        </w:rPr>
      </w:pPr>
    </w:p>
    <w:p w14:paraId="63731C68" w14:textId="622268BE" w:rsidR="004E6404" w:rsidRPr="00951830" w:rsidRDefault="004E6404" w:rsidP="004E6404">
      <w:pPr>
        <w:pStyle w:val="NormalWeb"/>
        <w:shd w:val="clear" w:color="auto" w:fill="FFFFFF"/>
        <w:spacing w:before="0" w:beforeAutospacing="0" w:after="0" w:afterAutospacing="0"/>
        <w:jc w:val="center"/>
        <w:rPr>
          <w:rFonts w:ascii="Roboto" w:hAnsi="Roboto" w:cstheme="minorHAnsi"/>
          <w:b/>
          <w:bCs/>
          <w:color w:val="1C1E21"/>
          <w:sz w:val="28"/>
          <w:szCs w:val="28"/>
        </w:rPr>
      </w:pPr>
      <w:r w:rsidRPr="00951830">
        <w:rPr>
          <w:rFonts w:ascii="Roboto" w:hAnsi="Roboto" w:cstheme="minorHAnsi"/>
          <w:b/>
          <w:bCs/>
          <w:color w:val="1C1E21"/>
          <w:sz w:val="28"/>
          <w:szCs w:val="28"/>
        </w:rPr>
        <w:t>Reddition de compte PSOC 2020-2021</w:t>
      </w:r>
    </w:p>
    <w:p w14:paraId="03550640" w14:textId="3C4C9B67" w:rsidR="00641A75" w:rsidRPr="00951830" w:rsidRDefault="004E6404" w:rsidP="004E6404">
      <w:pPr>
        <w:pStyle w:val="NormalWeb"/>
        <w:shd w:val="clear" w:color="auto" w:fill="FFFFFF"/>
        <w:spacing w:before="0" w:beforeAutospacing="0" w:after="0" w:afterAutospacing="0"/>
        <w:jc w:val="center"/>
        <w:rPr>
          <w:rFonts w:ascii="Roboto" w:hAnsi="Roboto" w:cstheme="minorHAnsi"/>
          <w:b/>
          <w:bCs/>
          <w:color w:val="1C1E21"/>
          <w:sz w:val="28"/>
          <w:szCs w:val="28"/>
        </w:rPr>
      </w:pPr>
      <w:r w:rsidRPr="00951830">
        <w:rPr>
          <w:rFonts w:ascii="Roboto" w:hAnsi="Roboto" w:cstheme="minorHAnsi"/>
          <w:b/>
          <w:bCs/>
          <w:color w:val="1C1E21"/>
          <w:sz w:val="28"/>
          <w:szCs w:val="28"/>
        </w:rPr>
        <w:t>EXIGENCES ET ACCOMMODEMENTS</w:t>
      </w:r>
    </w:p>
    <w:p w14:paraId="17626537" w14:textId="4E540639" w:rsidR="00330604" w:rsidRPr="00951830" w:rsidRDefault="00330604" w:rsidP="00641A75">
      <w:pPr>
        <w:pStyle w:val="NormalWeb"/>
        <w:shd w:val="clear" w:color="auto" w:fill="FFFFFF"/>
        <w:spacing w:before="0" w:beforeAutospacing="0" w:after="0" w:afterAutospacing="0"/>
        <w:rPr>
          <w:rFonts w:ascii="Roboto" w:hAnsi="Roboto" w:cstheme="minorHAnsi"/>
          <w:b/>
          <w:bCs/>
          <w:color w:val="1C1E21"/>
          <w:sz w:val="22"/>
          <w:szCs w:val="22"/>
        </w:rPr>
      </w:pPr>
    </w:p>
    <w:p w14:paraId="2DA1EA15" w14:textId="04F21FFE" w:rsidR="000F4050" w:rsidRPr="00951830" w:rsidRDefault="000F4050" w:rsidP="004E6404">
      <w:pPr>
        <w:pStyle w:val="NormalWeb"/>
        <w:shd w:val="clear" w:color="auto" w:fill="FFFFFF"/>
        <w:spacing w:before="0" w:beforeAutospacing="0" w:after="0" w:afterAutospacing="0"/>
        <w:jc w:val="right"/>
        <w:rPr>
          <w:rFonts w:ascii="Roboto" w:hAnsi="Roboto" w:cstheme="minorHAnsi"/>
          <w:i/>
          <w:iCs/>
          <w:color w:val="1C1E21"/>
          <w:sz w:val="22"/>
          <w:szCs w:val="22"/>
        </w:rPr>
      </w:pPr>
      <w:r w:rsidRPr="00951830">
        <w:rPr>
          <w:rFonts w:ascii="Roboto" w:hAnsi="Roboto" w:cstheme="minorHAnsi"/>
          <w:i/>
          <w:iCs/>
          <w:color w:val="1C1E21"/>
          <w:sz w:val="22"/>
          <w:szCs w:val="22"/>
        </w:rPr>
        <w:t>Mise à jour</w:t>
      </w:r>
      <w:r w:rsidR="004E6404" w:rsidRPr="00951830">
        <w:rPr>
          <w:rFonts w:ascii="Roboto" w:hAnsi="Roboto" w:cstheme="minorHAnsi"/>
          <w:i/>
          <w:iCs/>
          <w:color w:val="1C1E21"/>
          <w:sz w:val="22"/>
          <w:szCs w:val="22"/>
        </w:rPr>
        <w:t xml:space="preserve"> : </w:t>
      </w:r>
      <w:r w:rsidRPr="00951830">
        <w:rPr>
          <w:rFonts w:ascii="Roboto" w:hAnsi="Roboto" w:cstheme="minorHAnsi"/>
          <w:i/>
          <w:iCs/>
          <w:color w:val="1C1E21"/>
          <w:sz w:val="22"/>
          <w:szCs w:val="22"/>
        </w:rPr>
        <w:t>mai 2021</w:t>
      </w:r>
    </w:p>
    <w:p w14:paraId="7963C701" w14:textId="77777777" w:rsidR="000F4050" w:rsidRPr="00951830" w:rsidRDefault="000F4050" w:rsidP="00641A75">
      <w:pPr>
        <w:pStyle w:val="NormalWeb"/>
        <w:shd w:val="clear" w:color="auto" w:fill="FFFFFF"/>
        <w:spacing w:before="0" w:beforeAutospacing="0" w:after="0" w:afterAutospacing="0"/>
        <w:rPr>
          <w:rFonts w:ascii="Roboto" w:hAnsi="Roboto" w:cstheme="minorHAnsi"/>
          <w:b/>
          <w:bCs/>
          <w:color w:val="1C1E21"/>
          <w:sz w:val="22"/>
          <w:szCs w:val="22"/>
        </w:rPr>
      </w:pPr>
    </w:p>
    <w:p w14:paraId="629D2E05" w14:textId="09394DE7" w:rsidR="00641A75" w:rsidRPr="00951830" w:rsidRDefault="00641A75" w:rsidP="00641A75">
      <w:pPr>
        <w:pStyle w:val="NormalWeb"/>
        <w:shd w:val="clear" w:color="auto" w:fill="FFFFFF"/>
        <w:spacing w:before="0" w:beforeAutospacing="0" w:after="0" w:afterAutospacing="0"/>
        <w:rPr>
          <w:rFonts w:ascii="Roboto" w:hAnsi="Roboto" w:cstheme="minorHAnsi"/>
          <w:b/>
          <w:bCs/>
          <w:color w:val="1C1E21"/>
          <w:sz w:val="22"/>
          <w:szCs w:val="22"/>
        </w:rPr>
      </w:pPr>
      <w:r w:rsidRPr="00951830">
        <w:rPr>
          <w:rFonts w:ascii="Roboto" w:hAnsi="Roboto" w:cstheme="minorHAnsi"/>
          <w:b/>
          <w:bCs/>
          <w:color w:val="1C1E21"/>
          <w:sz w:val="22"/>
          <w:szCs w:val="22"/>
        </w:rPr>
        <w:t xml:space="preserve">Délais </w:t>
      </w:r>
    </w:p>
    <w:p w14:paraId="766E5B8D" w14:textId="77777777" w:rsidR="00FE34DB" w:rsidRPr="00951830" w:rsidRDefault="00FE34DB" w:rsidP="00641A75">
      <w:pPr>
        <w:pStyle w:val="NormalWeb"/>
        <w:shd w:val="clear" w:color="auto" w:fill="FFFFFF"/>
        <w:spacing w:before="0" w:beforeAutospacing="0" w:after="0" w:afterAutospacing="0"/>
        <w:rPr>
          <w:rFonts w:ascii="Roboto" w:hAnsi="Roboto" w:cstheme="minorHAnsi"/>
          <w:b/>
          <w:bCs/>
          <w:color w:val="1C1E21"/>
          <w:sz w:val="22"/>
          <w:szCs w:val="22"/>
        </w:rPr>
      </w:pPr>
    </w:p>
    <w:p w14:paraId="02BB18C0" w14:textId="74D51AFC" w:rsidR="00FE34DB" w:rsidRPr="00951830" w:rsidRDefault="00FE34DB" w:rsidP="00641A75">
      <w:pPr>
        <w:pStyle w:val="NormalWeb"/>
        <w:shd w:val="clear" w:color="auto" w:fill="FFFFFF"/>
        <w:spacing w:before="0" w:beforeAutospacing="0" w:after="0" w:afterAutospacing="0"/>
        <w:rPr>
          <w:rFonts w:ascii="Roboto" w:hAnsi="Roboto" w:cstheme="minorHAnsi"/>
          <w:bCs/>
          <w:color w:val="1C1E21"/>
          <w:sz w:val="22"/>
          <w:szCs w:val="22"/>
        </w:rPr>
      </w:pPr>
      <w:r w:rsidRPr="00951830">
        <w:rPr>
          <w:rFonts w:ascii="Roboto" w:hAnsi="Roboto" w:cstheme="minorHAnsi"/>
          <w:bCs/>
          <w:color w:val="1C1E21"/>
          <w:sz w:val="22"/>
          <w:szCs w:val="22"/>
        </w:rPr>
        <w:t>Il n’y a pas de délais supplémentaires accordés cette année. Vous avez donc 3 mois après la fin de votre année financière pour remettre vos documents au CIUSSS.</w:t>
      </w:r>
    </w:p>
    <w:p w14:paraId="5EB14036" w14:textId="77777777"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p>
    <w:p w14:paraId="2E791F92" w14:textId="47427B2B" w:rsidR="00FE34DB" w:rsidRPr="00951830" w:rsidRDefault="00FE34DB" w:rsidP="00641A75">
      <w:pPr>
        <w:pStyle w:val="NormalWeb"/>
        <w:shd w:val="clear" w:color="auto" w:fill="FFFFFF"/>
        <w:spacing w:before="0" w:beforeAutospacing="0" w:after="0" w:afterAutospacing="0"/>
        <w:rPr>
          <w:rFonts w:ascii="Roboto" w:hAnsi="Roboto" w:cstheme="minorHAnsi"/>
          <w:b/>
          <w:color w:val="1C1E21"/>
          <w:sz w:val="22"/>
          <w:szCs w:val="22"/>
        </w:rPr>
      </w:pPr>
      <w:r w:rsidRPr="00951830">
        <w:rPr>
          <w:rFonts w:ascii="Roboto" w:hAnsi="Roboto" w:cstheme="minorHAnsi"/>
          <w:b/>
          <w:color w:val="1C1E21"/>
          <w:sz w:val="22"/>
          <w:szCs w:val="22"/>
        </w:rPr>
        <w:t>AGA</w:t>
      </w:r>
    </w:p>
    <w:p w14:paraId="5C7C0699" w14:textId="77777777"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p>
    <w:p w14:paraId="1D15FD97" w14:textId="75ECF4C2"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r w:rsidRPr="00951830">
        <w:rPr>
          <w:rFonts w:ascii="Roboto" w:hAnsi="Roboto" w:cstheme="minorHAnsi"/>
          <w:color w:val="1C1E21"/>
          <w:sz w:val="22"/>
          <w:szCs w:val="22"/>
        </w:rPr>
        <w:t xml:space="preserve">Si vous êtes dans l’impossibilité de tenir votre AGA, vous pouvez remettre vos documents adoptés par votre conseil d’administration. N’oubliez pas de fournir les extraits de </w:t>
      </w:r>
      <w:r w:rsidR="00951830">
        <w:rPr>
          <w:rFonts w:ascii="Roboto" w:hAnsi="Roboto" w:cstheme="minorHAnsi"/>
          <w:color w:val="1C1E21"/>
          <w:sz w:val="22"/>
          <w:szCs w:val="22"/>
        </w:rPr>
        <w:t>procès-verbaux</w:t>
      </w:r>
      <w:r w:rsidRPr="00951830">
        <w:rPr>
          <w:rFonts w:ascii="Roboto" w:hAnsi="Roboto" w:cstheme="minorHAnsi"/>
          <w:color w:val="1C1E21"/>
          <w:sz w:val="22"/>
          <w:szCs w:val="22"/>
        </w:rPr>
        <w:t xml:space="preserve"> qui démontre</w:t>
      </w:r>
      <w:r w:rsidR="00951830">
        <w:rPr>
          <w:rFonts w:ascii="Roboto" w:hAnsi="Roboto" w:cstheme="minorHAnsi"/>
          <w:color w:val="1C1E21"/>
          <w:sz w:val="22"/>
          <w:szCs w:val="22"/>
        </w:rPr>
        <w:t>nt</w:t>
      </w:r>
      <w:r w:rsidRPr="00951830">
        <w:rPr>
          <w:rFonts w:ascii="Roboto" w:hAnsi="Roboto" w:cstheme="minorHAnsi"/>
          <w:color w:val="1C1E21"/>
          <w:sz w:val="22"/>
          <w:szCs w:val="22"/>
        </w:rPr>
        <w:t xml:space="preserve"> cette adoption!</w:t>
      </w:r>
    </w:p>
    <w:p w14:paraId="77BCFEC6" w14:textId="77777777"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p>
    <w:p w14:paraId="2886F0DC" w14:textId="64271C6E" w:rsidR="00FE34DB" w:rsidRPr="00951830" w:rsidRDefault="00FE34DB" w:rsidP="00641A75">
      <w:pPr>
        <w:pStyle w:val="NormalWeb"/>
        <w:shd w:val="clear" w:color="auto" w:fill="FFFFFF"/>
        <w:spacing w:before="0" w:beforeAutospacing="0" w:after="0" w:afterAutospacing="0"/>
        <w:rPr>
          <w:rFonts w:ascii="Roboto" w:hAnsi="Roboto" w:cstheme="minorHAnsi"/>
          <w:b/>
          <w:color w:val="1C1E21"/>
          <w:sz w:val="22"/>
          <w:szCs w:val="22"/>
        </w:rPr>
      </w:pPr>
      <w:r w:rsidRPr="00951830">
        <w:rPr>
          <w:rFonts w:ascii="Roboto" w:hAnsi="Roboto" w:cstheme="minorHAnsi"/>
          <w:b/>
          <w:color w:val="1C1E21"/>
          <w:sz w:val="22"/>
          <w:szCs w:val="22"/>
        </w:rPr>
        <w:t>États financiers</w:t>
      </w:r>
    </w:p>
    <w:p w14:paraId="6E984F4D" w14:textId="77777777"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p>
    <w:p w14:paraId="4B7A91AF" w14:textId="466C8E93"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r w:rsidRPr="00951830">
        <w:rPr>
          <w:rFonts w:ascii="Roboto" w:hAnsi="Roboto" w:cstheme="minorHAnsi"/>
          <w:color w:val="1C1E21"/>
          <w:sz w:val="22"/>
          <w:szCs w:val="22"/>
        </w:rPr>
        <w:t>Le MSSS reconnaît qu’il s’agit d’une année de transition entre l’ancien et le nouveau cadre du PSOC. Vous pouvez donc utiliser l’un ou l’autre de ces barème</w:t>
      </w:r>
      <w:r w:rsidR="00FD2AFA" w:rsidRPr="00951830">
        <w:rPr>
          <w:rFonts w:ascii="Roboto" w:hAnsi="Roboto" w:cstheme="minorHAnsi"/>
          <w:color w:val="1C1E21"/>
          <w:sz w:val="22"/>
          <w:szCs w:val="22"/>
        </w:rPr>
        <w:t>s</w:t>
      </w:r>
      <w:r w:rsidRPr="00951830">
        <w:rPr>
          <w:rFonts w:ascii="Roboto" w:hAnsi="Roboto" w:cstheme="minorHAnsi"/>
          <w:color w:val="1C1E21"/>
          <w:sz w:val="22"/>
          <w:szCs w:val="22"/>
        </w:rPr>
        <w:t> :</w:t>
      </w:r>
    </w:p>
    <w:p w14:paraId="5BD2F65F" w14:textId="77777777"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p>
    <w:p w14:paraId="4435601B" w14:textId="77777777" w:rsidR="00FE34DB" w:rsidRPr="00951830" w:rsidRDefault="00FE34DB" w:rsidP="00FE34DB">
      <w:pPr>
        <w:pStyle w:val="NormalWeb"/>
        <w:shd w:val="clear" w:color="auto" w:fill="FFFFFF"/>
        <w:spacing w:before="0" w:beforeAutospacing="0" w:after="0" w:afterAutospacing="0"/>
        <w:ind w:left="567"/>
        <w:rPr>
          <w:rFonts w:ascii="Roboto" w:hAnsi="Roboto" w:cstheme="minorHAnsi"/>
          <w:i/>
          <w:iCs/>
          <w:color w:val="1C1E21"/>
          <w:sz w:val="22"/>
          <w:szCs w:val="22"/>
        </w:rPr>
      </w:pPr>
      <w:r w:rsidRPr="00951830">
        <w:rPr>
          <w:rFonts w:ascii="Roboto" w:hAnsi="Roboto" w:cstheme="minorHAnsi"/>
          <w:i/>
          <w:iCs/>
          <w:color w:val="1C1E21"/>
          <w:sz w:val="22"/>
          <w:szCs w:val="22"/>
        </w:rPr>
        <w:t xml:space="preserve">Ancien Cadre : </w:t>
      </w:r>
    </w:p>
    <w:p w14:paraId="4EB4C1B7" w14:textId="26240CE9" w:rsidR="00FE34DB" w:rsidRPr="00951830" w:rsidRDefault="00FE34DB" w:rsidP="00FE34DB">
      <w:pPr>
        <w:pStyle w:val="NormalWeb"/>
        <w:shd w:val="clear" w:color="auto" w:fill="FFFFFF"/>
        <w:spacing w:before="0" w:beforeAutospacing="0" w:after="0" w:afterAutospacing="0"/>
        <w:ind w:left="567"/>
        <w:rPr>
          <w:rFonts w:ascii="Roboto" w:hAnsi="Roboto" w:cstheme="minorHAnsi"/>
          <w:color w:val="1C1E21"/>
          <w:sz w:val="22"/>
          <w:szCs w:val="22"/>
        </w:rPr>
      </w:pPr>
      <w:r w:rsidRPr="00951830">
        <w:rPr>
          <w:rFonts w:ascii="Roboto" w:hAnsi="Roboto" w:cstheme="minorHAnsi"/>
          <w:color w:val="1C1E21"/>
          <w:sz w:val="22"/>
          <w:szCs w:val="22"/>
        </w:rPr>
        <w:t>Subvention PSOC de 100 000 $ et plus : mission d’audit</w:t>
      </w:r>
    </w:p>
    <w:p w14:paraId="077859CF" w14:textId="501016AB" w:rsidR="00FE34DB" w:rsidRPr="00951830" w:rsidRDefault="00FE34DB" w:rsidP="00FE34DB">
      <w:pPr>
        <w:pStyle w:val="NormalWeb"/>
        <w:shd w:val="clear" w:color="auto" w:fill="FFFFFF"/>
        <w:spacing w:before="0" w:beforeAutospacing="0" w:after="0" w:afterAutospacing="0"/>
        <w:ind w:left="567"/>
        <w:rPr>
          <w:rFonts w:ascii="Roboto" w:hAnsi="Roboto" w:cstheme="minorHAnsi"/>
          <w:color w:val="1C1E21"/>
          <w:sz w:val="22"/>
          <w:szCs w:val="22"/>
        </w:rPr>
      </w:pPr>
      <w:r w:rsidRPr="00951830">
        <w:rPr>
          <w:rFonts w:ascii="Roboto" w:hAnsi="Roboto" w:cstheme="minorHAnsi"/>
          <w:color w:val="1C1E21"/>
          <w:sz w:val="22"/>
          <w:szCs w:val="22"/>
        </w:rPr>
        <w:t>Subvention PSOC de 25 000 $ à 99 999 $ : mission d’examen</w:t>
      </w:r>
    </w:p>
    <w:p w14:paraId="2F1A02E3" w14:textId="77777777" w:rsidR="00FE34DB" w:rsidRPr="00951830" w:rsidRDefault="00FE34DB" w:rsidP="00FE34DB">
      <w:pPr>
        <w:pStyle w:val="NormalWeb"/>
        <w:shd w:val="clear" w:color="auto" w:fill="FFFFFF"/>
        <w:spacing w:before="0" w:beforeAutospacing="0" w:after="0" w:afterAutospacing="0"/>
        <w:ind w:left="567"/>
        <w:rPr>
          <w:rFonts w:ascii="Roboto" w:hAnsi="Roboto" w:cstheme="minorHAnsi"/>
          <w:color w:val="1C1E21"/>
          <w:sz w:val="22"/>
          <w:szCs w:val="22"/>
        </w:rPr>
      </w:pPr>
      <w:r w:rsidRPr="00951830">
        <w:rPr>
          <w:rFonts w:ascii="Roboto" w:hAnsi="Roboto" w:cstheme="minorHAnsi"/>
          <w:color w:val="1C1E21"/>
          <w:sz w:val="22"/>
          <w:szCs w:val="22"/>
        </w:rPr>
        <w:t xml:space="preserve">Subvention PSOC de 25 000 $ et moins : rapport financier seulement </w:t>
      </w:r>
    </w:p>
    <w:p w14:paraId="47B830DC" w14:textId="77777777" w:rsidR="00FE34DB" w:rsidRPr="00951830" w:rsidRDefault="00FE34DB" w:rsidP="00FE34DB">
      <w:pPr>
        <w:pStyle w:val="NormalWeb"/>
        <w:shd w:val="clear" w:color="auto" w:fill="FFFFFF"/>
        <w:spacing w:before="0" w:beforeAutospacing="0" w:after="0" w:afterAutospacing="0"/>
        <w:ind w:left="567"/>
        <w:rPr>
          <w:rFonts w:ascii="Roboto" w:hAnsi="Roboto" w:cstheme="minorHAnsi"/>
          <w:color w:val="1C1E21"/>
          <w:sz w:val="22"/>
          <w:szCs w:val="22"/>
        </w:rPr>
      </w:pPr>
    </w:p>
    <w:p w14:paraId="1AD97274" w14:textId="77777777" w:rsidR="00FE34DB" w:rsidRPr="00951830" w:rsidRDefault="00FE34DB" w:rsidP="00FE34DB">
      <w:pPr>
        <w:pStyle w:val="NormalWeb"/>
        <w:shd w:val="clear" w:color="auto" w:fill="FFFFFF"/>
        <w:spacing w:before="0" w:beforeAutospacing="0" w:after="0" w:afterAutospacing="0"/>
        <w:ind w:left="567"/>
        <w:rPr>
          <w:rFonts w:ascii="Roboto" w:hAnsi="Roboto" w:cstheme="minorHAnsi"/>
          <w:i/>
          <w:iCs/>
          <w:color w:val="1C1E21"/>
          <w:sz w:val="22"/>
          <w:szCs w:val="22"/>
        </w:rPr>
      </w:pPr>
      <w:r w:rsidRPr="00951830">
        <w:rPr>
          <w:rFonts w:ascii="Roboto" w:hAnsi="Roboto" w:cstheme="minorHAnsi"/>
          <w:i/>
          <w:iCs/>
          <w:color w:val="1C1E21"/>
          <w:sz w:val="22"/>
          <w:szCs w:val="22"/>
        </w:rPr>
        <w:t xml:space="preserve">Ancien Cadre : </w:t>
      </w:r>
    </w:p>
    <w:p w14:paraId="23088AC8" w14:textId="77777777" w:rsidR="00FE34DB" w:rsidRPr="00951830" w:rsidRDefault="00FE34DB" w:rsidP="00FE34DB">
      <w:pPr>
        <w:pStyle w:val="NormalWeb"/>
        <w:shd w:val="clear" w:color="auto" w:fill="FFFFFF"/>
        <w:spacing w:before="0" w:beforeAutospacing="0" w:after="0" w:afterAutospacing="0"/>
        <w:ind w:left="567"/>
        <w:rPr>
          <w:rFonts w:ascii="Roboto" w:hAnsi="Roboto" w:cstheme="minorHAnsi"/>
          <w:color w:val="1C1E21"/>
          <w:sz w:val="22"/>
          <w:szCs w:val="22"/>
        </w:rPr>
      </w:pPr>
      <w:r w:rsidRPr="00951830">
        <w:rPr>
          <w:rFonts w:ascii="Roboto" w:hAnsi="Roboto" w:cstheme="minorHAnsi"/>
          <w:color w:val="1C1E21"/>
          <w:sz w:val="22"/>
          <w:szCs w:val="22"/>
        </w:rPr>
        <w:t>Subvention* de 150 000 $ et plus : mission d’audit</w:t>
      </w:r>
    </w:p>
    <w:p w14:paraId="19C0EECE" w14:textId="77777777" w:rsidR="00FE34DB" w:rsidRPr="00951830" w:rsidRDefault="00FE34DB" w:rsidP="00FE34DB">
      <w:pPr>
        <w:pStyle w:val="NormalWeb"/>
        <w:shd w:val="clear" w:color="auto" w:fill="FFFFFF"/>
        <w:spacing w:before="0" w:beforeAutospacing="0" w:after="0" w:afterAutospacing="0"/>
        <w:ind w:left="567"/>
        <w:rPr>
          <w:rFonts w:ascii="Roboto" w:hAnsi="Roboto" w:cstheme="minorHAnsi"/>
          <w:color w:val="1C1E21"/>
          <w:sz w:val="22"/>
          <w:szCs w:val="22"/>
        </w:rPr>
      </w:pPr>
      <w:r w:rsidRPr="00951830">
        <w:rPr>
          <w:rFonts w:ascii="Roboto" w:hAnsi="Roboto" w:cstheme="minorHAnsi"/>
          <w:color w:val="1C1E21"/>
          <w:sz w:val="22"/>
          <w:szCs w:val="22"/>
        </w:rPr>
        <w:t>Subvention* de 50 000 $ à 149 999 $ : mission d’examen</w:t>
      </w:r>
    </w:p>
    <w:p w14:paraId="199607A4" w14:textId="77777777" w:rsidR="00FE34DB" w:rsidRPr="00951830" w:rsidRDefault="00FE34DB" w:rsidP="00FE34DB">
      <w:pPr>
        <w:pStyle w:val="NormalWeb"/>
        <w:shd w:val="clear" w:color="auto" w:fill="FFFFFF"/>
        <w:spacing w:before="0" w:beforeAutospacing="0" w:after="0" w:afterAutospacing="0"/>
        <w:ind w:left="567"/>
        <w:rPr>
          <w:rFonts w:ascii="Roboto" w:hAnsi="Roboto" w:cstheme="minorHAnsi"/>
          <w:color w:val="1C1E21"/>
          <w:sz w:val="22"/>
          <w:szCs w:val="22"/>
        </w:rPr>
      </w:pPr>
      <w:r w:rsidRPr="00951830">
        <w:rPr>
          <w:rFonts w:ascii="Roboto" w:hAnsi="Roboto" w:cstheme="minorHAnsi"/>
          <w:color w:val="1C1E21"/>
          <w:sz w:val="22"/>
          <w:szCs w:val="22"/>
        </w:rPr>
        <w:t>Subvention* de 25 000 $ 49 999$ : mission de compilation</w:t>
      </w:r>
    </w:p>
    <w:p w14:paraId="2BAFD7E6" w14:textId="77777777" w:rsidR="00FE34DB" w:rsidRPr="00951830" w:rsidRDefault="00FE34DB" w:rsidP="00FE34DB">
      <w:pPr>
        <w:pStyle w:val="NormalWeb"/>
        <w:shd w:val="clear" w:color="auto" w:fill="FFFFFF"/>
        <w:spacing w:before="0" w:beforeAutospacing="0" w:after="0" w:afterAutospacing="0"/>
        <w:ind w:left="567"/>
        <w:rPr>
          <w:rFonts w:ascii="Roboto" w:hAnsi="Roboto" w:cstheme="minorHAnsi"/>
          <w:color w:val="1C1E21"/>
          <w:sz w:val="22"/>
          <w:szCs w:val="22"/>
        </w:rPr>
      </w:pPr>
      <w:r w:rsidRPr="00951830">
        <w:rPr>
          <w:rFonts w:ascii="Roboto" w:hAnsi="Roboto" w:cstheme="minorHAnsi"/>
          <w:color w:val="1C1E21"/>
          <w:sz w:val="22"/>
          <w:szCs w:val="22"/>
        </w:rPr>
        <w:t xml:space="preserve">Subvention* de 25 000 $ et moins : rapport financier seulement </w:t>
      </w:r>
    </w:p>
    <w:p w14:paraId="13FA6AAC" w14:textId="77777777" w:rsidR="00FE34DB" w:rsidRPr="00951830" w:rsidRDefault="00FE34DB" w:rsidP="00FE34DB">
      <w:pPr>
        <w:pStyle w:val="NormalWeb"/>
        <w:shd w:val="clear" w:color="auto" w:fill="FFFFFF"/>
        <w:spacing w:before="90" w:beforeAutospacing="0" w:after="90" w:afterAutospacing="0"/>
        <w:ind w:left="567"/>
        <w:rPr>
          <w:rFonts w:ascii="Roboto" w:hAnsi="Roboto" w:cstheme="minorHAnsi"/>
          <w:sz w:val="22"/>
          <w:szCs w:val="22"/>
        </w:rPr>
      </w:pPr>
      <w:r w:rsidRPr="00951830">
        <w:rPr>
          <w:rFonts w:ascii="Roboto" w:hAnsi="Roboto" w:cstheme="minorHAnsi"/>
          <w:sz w:val="22"/>
          <w:szCs w:val="22"/>
        </w:rPr>
        <w:t>* L’ensemble des contributions du gouvernement du Québec, ses ministères et organismes publics et parapublics, incluant les sommes versées dans le cadre des Fonds d’urgence COVID et excluant les fonds discrétionnaires et les subventions salariales.</w:t>
      </w:r>
    </w:p>
    <w:p w14:paraId="5708A0EA" w14:textId="77777777"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p>
    <w:p w14:paraId="011214BE" w14:textId="475FD02B"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r w:rsidRPr="00951830">
        <w:rPr>
          <w:rFonts w:ascii="Roboto" w:hAnsi="Roboto" w:cstheme="minorHAnsi"/>
          <w:color w:val="1C1E21"/>
          <w:sz w:val="22"/>
          <w:szCs w:val="22"/>
        </w:rPr>
        <w:t>Si votre vérificateur n’est pas en mesure de produire vos états financiers à temps</w:t>
      </w:r>
      <w:r w:rsidR="00FD2AFA" w:rsidRPr="00951830">
        <w:rPr>
          <w:rFonts w:ascii="Roboto" w:hAnsi="Roboto" w:cstheme="minorHAnsi"/>
          <w:color w:val="1C1E21"/>
          <w:sz w:val="22"/>
          <w:szCs w:val="22"/>
        </w:rPr>
        <w:t>, vous dispose</w:t>
      </w:r>
      <w:r w:rsidR="00951830">
        <w:rPr>
          <w:rFonts w:ascii="Roboto" w:hAnsi="Roboto" w:cstheme="minorHAnsi"/>
          <w:color w:val="1C1E21"/>
          <w:sz w:val="22"/>
          <w:szCs w:val="22"/>
        </w:rPr>
        <w:t>z</w:t>
      </w:r>
      <w:r w:rsidR="00FD2AFA" w:rsidRPr="00951830">
        <w:rPr>
          <w:rFonts w:ascii="Roboto" w:hAnsi="Roboto" w:cstheme="minorHAnsi"/>
          <w:color w:val="1C1E21"/>
          <w:sz w:val="22"/>
          <w:szCs w:val="22"/>
        </w:rPr>
        <w:t xml:space="preserve"> de </w:t>
      </w:r>
      <w:r w:rsidR="00FD2AFA" w:rsidRPr="00951830">
        <w:rPr>
          <w:rFonts w:ascii="Roboto" w:hAnsi="Roboto" w:cstheme="minorHAnsi"/>
          <w:b/>
          <w:color w:val="1C1E21"/>
          <w:sz w:val="22"/>
          <w:szCs w:val="22"/>
        </w:rPr>
        <w:t>3 mois supplémentaires</w:t>
      </w:r>
      <w:r w:rsidR="00FD2AFA" w:rsidRPr="00951830">
        <w:rPr>
          <w:rFonts w:ascii="Roboto" w:hAnsi="Roboto" w:cstheme="minorHAnsi"/>
          <w:color w:val="1C1E21"/>
          <w:sz w:val="22"/>
          <w:szCs w:val="22"/>
        </w:rPr>
        <w:t xml:space="preserve"> pour </w:t>
      </w:r>
      <w:r w:rsidR="00E252B1" w:rsidRPr="00951830">
        <w:rPr>
          <w:rFonts w:ascii="Roboto" w:hAnsi="Roboto" w:cstheme="minorHAnsi"/>
          <w:color w:val="1C1E21"/>
          <w:sz w:val="22"/>
          <w:szCs w:val="22"/>
        </w:rPr>
        <w:t>les transmettre</w:t>
      </w:r>
      <w:r w:rsidR="00FD2AFA" w:rsidRPr="00951830">
        <w:rPr>
          <w:rFonts w:ascii="Roboto" w:hAnsi="Roboto" w:cstheme="minorHAnsi"/>
          <w:color w:val="1C1E21"/>
          <w:sz w:val="22"/>
          <w:szCs w:val="22"/>
        </w:rPr>
        <w:t xml:space="preserve"> (6 mois après la fin de votre année financière). </w:t>
      </w:r>
      <w:proofErr w:type="gramStart"/>
      <w:r w:rsidR="00FD2AFA" w:rsidRPr="00951830">
        <w:rPr>
          <w:rFonts w:ascii="Roboto" w:hAnsi="Roboto" w:cstheme="minorHAnsi"/>
          <w:color w:val="1C1E21"/>
          <w:sz w:val="22"/>
          <w:szCs w:val="22"/>
        </w:rPr>
        <w:t>Par contre</w:t>
      </w:r>
      <w:proofErr w:type="gramEnd"/>
      <w:r w:rsidR="00FD2AFA" w:rsidRPr="00951830">
        <w:rPr>
          <w:rFonts w:ascii="Roboto" w:hAnsi="Roboto" w:cstheme="minorHAnsi"/>
          <w:color w:val="1C1E21"/>
          <w:sz w:val="22"/>
          <w:szCs w:val="22"/>
        </w:rPr>
        <w:t xml:space="preserve">, vous devez déposer au CIUSSS </w:t>
      </w:r>
      <w:r w:rsidR="00FD2AFA" w:rsidRPr="00951830">
        <w:rPr>
          <w:rFonts w:ascii="Roboto" w:hAnsi="Roboto" w:cstheme="minorHAnsi"/>
          <w:b/>
          <w:color w:val="1C1E21"/>
          <w:sz w:val="22"/>
          <w:szCs w:val="22"/>
        </w:rPr>
        <w:t xml:space="preserve">des états financiers </w:t>
      </w:r>
      <w:r w:rsidR="00E252B1" w:rsidRPr="00951830">
        <w:rPr>
          <w:rFonts w:ascii="Roboto" w:hAnsi="Roboto" w:cstheme="minorHAnsi"/>
          <w:b/>
          <w:color w:val="1C1E21"/>
          <w:sz w:val="22"/>
          <w:szCs w:val="22"/>
        </w:rPr>
        <w:t>provisoires</w:t>
      </w:r>
      <w:r w:rsidR="00FD2AFA" w:rsidRPr="00951830">
        <w:rPr>
          <w:rFonts w:ascii="Roboto" w:hAnsi="Roboto" w:cstheme="minorHAnsi"/>
          <w:b/>
          <w:color w:val="1C1E21"/>
          <w:sz w:val="22"/>
          <w:szCs w:val="22"/>
        </w:rPr>
        <w:t xml:space="preserve"> </w:t>
      </w:r>
      <w:r w:rsidR="00FD2AFA" w:rsidRPr="00951830">
        <w:rPr>
          <w:rFonts w:ascii="Roboto" w:hAnsi="Roboto" w:cstheme="minorHAnsi"/>
          <w:color w:val="1C1E21"/>
          <w:sz w:val="22"/>
          <w:szCs w:val="22"/>
        </w:rPr>
        <w:t xml:space="preserve">dans le délai prescrit de </w:t>
      </w:r>
      <w:r w:rsidR="00E252B1" w:rsidRPr="00951830">
        <w:rPr>
          <w:rFonts w:ascii="Roboto" w:hAnsi="Roboto" w:cstheme="minorHAnsi"/>
          <w:color w:val="1C1E21"/>
          <w:sz w:val="22"/>
          <w:szCs w:val="22"/>
        </w:rPr>
        <w:t>3</w:t>
      </w:r>
      <w:r w:rsidR="00FD2AFA" w:rsidRPr="00951830">
        <w:rPr>
          <w:rFonts w:ascii="Roboto" w:hAnsi="Roboto" w:cstheme="minorHAnsi"/>
          <w:color w:val="1C1E21"/>
          <w:sz w:val="22"/>
          <w:szCs w:val="22"/>
        </w:rPr>
        <w:t xml:space="preserve"> mois.</w:t>
      </w:r>
    </w:p>
    <w:p w14:paraId="2DB2676F" w14:textId="77777777" w:rsidR="00FE34DB" w:rsidRPr="00951830" w:rsidRDefault="00FE34DB" w:rsidP="00641A75">
      <w:pPr>
        <w:pStyle w:val="NormalWeb"/>
        <w:shd w:val="clear" w:color="auto" w:fill="FFFFFF"/>
        <w:spacing w:before="0" w:beforeAutospacing="0" w:after="0" w:afterAutospacing="0"/>
        <w:rPr>
          <w:rFonts w:ascii="Roboto" w:hAnsi="Roboto" w:cstheme="minorHAnsi"/>
          <w:color w:val="1C1E21"/>
          <w:sz w:val="22"/>
          <w:szCs w:val="22"/>
        </w:rPr>
      </w:pPr>
    </w:p>
    <w:p w14:paraId="3036DFD3" w14:textId="5B560043" w:rsidR="00FE34DB" w:rsidRPr="00951830" w:rsidRDefault="00FD2AFA" w:rsidP="00641A75">
      <w:pPr>
        <w:pStyle w:val="NormalWeb"/>
        <w:shd w:val="clear" w:color="auto" w:fill="FFFFFF"/>
        <w:spacing w:before="0" w:beforeAutospacing="0" w:after="0" w:afterAutospacing="0"/>
        <w:rPr>
          <w:rFonts w:ascii="Roboto" w:hAnsi="Roboto" w:cstheme="minorHAnsi"/>
          <w:color w:val="1C1E21"/>
          <w:sz w:val="22"/>
          <w:szCs w:val="22"/>
        </w:rPr>
      </w:pPr>
      <w:r w:rsidRPr="00951830">
        <w:rPr>
          <w:rFonts w:ascii="Roboto" w:hAnsi="Roboto" w:cstheme="minorHAnsi"/>
          <w:color w:val="1C1E21"/>
          <w:sz w:val="22"/>
          <w:szCs w:val="22"/>
        </w:rPr>
        <w:t xml:space="preserve">Les états financiers </w:t>
      </w:r>
      <w:r w:rsidR="00E252B1" w:rsidRPr="00951830">
        <w:rPr>
          <w:rFonts w:ascii="Roboto" w:hAnsi="Roboto" w:cstheme="minorHAnsi"/>
          <w:color w:val="1C1E21"/>
          <w:sz w:val="22"/>
          <w:szCs w:val="22"/>
        </w:rPr>
        <w:t>provisoires</w:t>
      </w:r>
      <w:r w:rsidRPr="00951830">
        <w:rPr>
          <w:rFonts w:ascii="Roboto" w:hAnsi="Roboto" w:cstheme="minorHAnsi"/>
          <w:color w:val="1C1E21"/>
          <w:sz w:val="22"/>
          <w:szCs w:val="22"/>
        </w:rPr>
        <w:t xml:space="preserve"> sont réalisés à l’interne de l’organisme et comprennent :</w:t>
      </w:r>
    </w:p>
    <w:p w14:paraId="24418DCA" w14:textId="00D78D20" w:rsidR="00FD2AFA" w:rsidRPr="00951830" w:rsidRDefault="00FD2AFA" w:rsidP="00FD2AFA">
      <w:pPr>
        <w:pStyle w:val="NormalWeb"/>
        <w:numPr>
          <w:ilvl w:val="0"/>
          <w:numId w:val="7"/>
        </w:numPr>
        <w:shd w:val="clear" w:color="auto" w:fill="FFFFFF"/>
        <w:spacing w:before="0" w:beforeAutospacing="0" w:after="0" w:afterAutospacing="0"/>
        <w:rPr>
          <w:rStyle w:val="textexposedshow"/>
          <w:rFonts w:ascii="Roboto" w:hAnsi="Roboto" w:cstheme="minorHAnsi"/>
          <w:color w:val="1C1E21"/>
          <w:sz w:val="22"/>
          <w:szCs w:val="22"/>
        </w:rPr>
      </w:pPr>
      <w:r w:rsidRPr="00951830">
        <w:rPr>
          <w:rStyle w:val="textexposedshow"/>
          <w:rFonts w:ascii="Roboto" w:hAnsi="Roboto" w:cstheme="minorHAnsi"/>
          <w:color w:val="1C1E21"/>
          <w:sz w:val="22"/>
          <w:szCs w:val="22"/>
        </w:rPr>
        <w:t>L’état des résultats (revenus et dépenses)</w:t>
      </w:r>
    </w:p>
    <w:p w14:paraId="6868F4B9" w14:textId="684DBB3F" w:rsidR="00FD2AFA" w:rsidRPr="00951830" w:rsidRDefault="00FD2AFA" w:rsidP="00FD2AFA">
      <w:pPr>
        <w:pStyle w:val="NormalWeb"/>
        <w:numPr>
          <w:ilvl w:val="0"/>
          <w:numId w:val="7"/>
        </w:numPr>
        <w:shd w:val="clear" w:color="auto" w:fill="FFFFFF"/>
        <w:spacing w:before="0" w:beforeAutospacing="0" w:after="0" w:afterAutospacing="0"/>
        <w:rPr>
          <w:rStyle w:val="textexposedshow"/>
          <w:rFonts w:ascii="Roboto" w:hAnsi="Roboto" w:cstheme="minorHAnsi"/>
          <w:color w:val="1C1E21"/>
          <w:sz w:val="22"/>
          <w:szCs w:val="22"/>
        </w:rPr>
      </w:pPr>
      <w:r w:rsidRPr="00951830">
        <w:rPr>
          <w:rStyle w:val="textexposedshow"/>
          <w:rFonts w:ascii="Roboto" w:hAnsi="Roboto" w:cstheme="minorHAnsi"/>
          <w:color w:val="1C1E21"/>
          <w:sz w:val="22"/>
          <w:szCs w:val="22"/>
        </w:rPr>
        <w:t>Le bilan (actifs et passifs).</w:t>
      </w:r>
    </w:p>
    <w:p w14:paraId="002FDC22" w14:textId="5BA05200" w:rsidR="00FD2AFA" w:rsidRPr="00951830" w:rsidRDefault="00FD2AFA" w:rsidP="00FD2AFA">
      <w:pPr>
        <w:pStyle w:val="NormalWeb"/>
        <w:numPr>
          <w:ilvl w:val="0"/>
          <w:numId w:val="7"/>
        </w:numPr>
        <w:shd w:val="clear" w:color="auto" w:fill="FFFFFF"/>
        <w:spacing w:before="0" w:beforeAutospacing="0" w:after="0" w:afterAutospacing="0"/>
        <w:rPr>
          <w:rFonts w:ascii="Roboto" w:hAnsi="Roboto" w:cstheme="minorHAnsi"/>
          <w:color w:val="1C1E21"/>
          <w:sz w:val="22"/>
          <w:szCs w:val="22"/>
        </w:rPr>
      </w:pPr>
      <w:r w:rsidRPr="00951830">
        <w:rPr>
          <w:rStyle w:val="textexposedshow"/>
          <w:rFonts w:ascii="Roboto" w:hAnsi="Roboto" w:cstheme="minorHAnsi"/>
          <w:color w:val="1C1E21"/>
          <w:sz w:val="22"/>
          <w:szCs w:val="22"/>
        </w:rPr>
        <w:t>2 signatures de membre</w:t>
      </w:r>
      <w:r w:rsidR="00E252B1" w:rsidRPr="00951830">
        <w:rPr>
          <w:rStyle w:val="textexposedshow"/>
          <w:rFonts w:ascii="Roboto" w:hAnsi="Roboto" w:cstheme="minorHAnsi"/>
          <w:color w:val="1C1E21"/>
          <w:sz w:val="22"/>
          <w:szCs w:val="22"/>
        </w:rPr>
        <w:t>s</w:t>
      </w:r>
      <w:r w:rsidRPr="00951830">
        <w:rPr>
          <w:rStyle w:val="textexposedshow"/>
          <w:rFonts w:ascii="Roboto" w:hAnsi="Roboto" w:cstheme="minorHAnsi"/>
          <w:color w:val="1C1E21"/>
          <w:sz w:val="22"/>
          <w:szCs w:val="22"/>
        </w:rPr>
        <w:t xml:space="preserve"> du CA (idéalement présidence et trésorerie)</w:t>
      </w:r>
    </w:p>
    <w:p w14:paraId="4E1C2B7B" w14:textId="77777777" w:rsidR="00FD2AFA" w:rsidRPr="00951830" w:rsidRDefault="00FD2AFA" w:rsidP="00FD2AFA">
      <w:pPr>
        <w:pStyle w:val="NormalWeb"/>
        <w:shd w:val="clear" w:color="auto" w:fill="FFFFFF"/>
        <w:spacing w:before="0" w:beforeAutospacing="0" w:after="90" w:afterAutospacing="0"/>
        <w:rPr>
          <w:rFonts w:ascii="Roboto" w:hAnsi="Roboto" w:cstheme="minorHAnsi"/>
          <w:color w:val="1C1E21"/>
          <w:sz w:val="22"/>
          <w:szCs w:val="22"/>
        </w:rPr>
      </w:pPr>
    </w:p>
    <w:p w14:paraId="4C0C98A5" w14:textId="77777777" w:rsidR="0065491F" w:rsidRDefault="0065491F" w:rsidP="00641A75">
      <w:pPr>
        <w:pStyle w:val="NormalWeb"/>
        <w:shd w:val="clear" w:color="auto" w:fill="FFFFFF"/>
        <w:spacing w:before="240" w:beforeAutospacing="0" w:after="240" w:afterAutospacing="0"/>
        <w:rPr>
          <w:rFonts w:ascii="Roboto" w:hAnsi="Roboto" w:cstheme="minorHAnsi"/>
          <w:b/>
          <w:bCs/>
          <w:color w:val="1C1E21"/>
          <w:sz w:val="22"/>
          <w:szCs w:val="22"/>
        </w:rPr>
      </w:pPr>
    </w:p>
    <w:p w14:paraId="6816347A" w14:textId="65E98E7F" w:rsidR="009808DD" w:rsidRPr="00951830" w:rsidRDefault="00641A75" w:rsidP="00641A75">
      <w:pPr>
        <w:pStyle w:val="NormalWeb"/>
        <w:shd w:val="clear" w:color="auto" w:fill="FFFFFF"/>
        <w:spacing w:before="240" w:beforeAutospacing="0" w:after="240" w:afterAutospacing="0"/>
        <w:rPr>
          <w:rFonts w:ascii="Roboto" w:hAnsi="Roboto" w:cstheme="minorHAnsi"/>
          <w:color w:val="1C1E21"/>
          <w:sz w:val="22"/>
          <w:szCs w:val="22"/>
        </w:rPr>
      </w:pPr>
      <w:r w:rsidRPr="00951830">
        <w:rPr>
          <w:rFonts w:ascii="Roboto" w:hAnsi="Roboto" w:cstheme="minorHAnsi"/>
          <w:b/>
          <w:bCs/>
          <w:color w:val="1C1E21"/>
          <w:sz w:val="22"/>
          <w:szCs w:val="22"/>
        </w:rPr>
        <w:t>Règle d</w:t>
      </w:r>
      <w:r w:rsidR="00DC7033" w:rsidRPr="00951830">
        <w:rPr>
          <w:rFonts w:ascii="Roboto" w:hAnsi="Roboto" w:cstheme="minorHAnsi"/>
          <w:b/>
          <w:bCs/>
          <w:color w:val="1C1E21"/>
          <w:sz w:val="22"/>
          <w:szCs w:val="22"/>
        </w:rPr>
        <w:t xml:space="preserve">u maximum de </w:t>
      </w:r>
      <w:r w:rsidRPr="00951830">
        <w:rPr>
          <w:rFonts w:ascii="Roboto" w:hAnsi="Roboto" w:cstheme="minorHAnsi"/>
          <w:b/>
          <w:bCs/>
          <w:color w:val="1C1E21"/>
          <w:sz w:val="22"/>
          <w:szCs w:val="22"/>
        </w:rPr>
        <w:t>25 % des surplus financiers non affectés </w:t>
      </w:r>
    </w:p>
    <w:p w14:paraId="05A117FC" w14:textId="05AD7FA3" w:rsidR="00641A75" w:rsidRPr="00951830" w:rsidRDefault="009808DD" w:rsidP="00641A75">
      <w:pPr>
        <w:pStyle w:val="NormalWeb"/>
        <w:shd w:val="clear" w:color="auto" w:fill="FFFFFF"/>
        <w:spacing w:before="240" w:beforeAutospacing="0" w:after="240" w:afterAutospacing="0"/>
        <w:rPr>
          <w:rFonts w:ascii="Roboto" w:hAnsi="Roboto" w:cstheme="minorHAnsi"/>
          <w:color w:val="1C1E21"/>
          <w:sz w:val="22"/>
          <w:szCs w:val="22"/>
        </w:rPr>
      </w:pPr>
      <w:r w:rsidRPr="00951830">
        <w:rPr>
          <w:rFonts w:ascii="Roboto" w:hAnsi="Roboto" w:cstheme="minorHAnsi"/>
          <w:color w:val="1C1E21"/>
          <w:sz w:val="22"/>
          <w:szCs w:val="22"/>
        </w:rPr>
        <w:t xml:space="preserve">Les </w:t>
      </w:r>
      <w:r w:rsidR="00641A75" w:rsidRPr="00951830">
        <w:rPr>
          <w:rFonts w:ascii="Roboto" w:hAnsi="Roboto" w:cstheme="minorHAnsi"/>
          <w:color w:val="1C1E21"/>
          <w:sz w:val="22"/>
          <w:szCs w:val="22"/>
        </w:rPr>
        <w:t>organisme</w:t>
      </w:r>
      <w:r w:rsidRPr="00951830">
        <w:rPr>
          <w:rFonts w:ascii="Roboto" w:hAnsi="Roboto" w:cstheme="minorHAnsi"/>
          <w:color w:val="1C1E21"/>
          <w:sz w:val="22"/>
          <w:szCs w:val="22"/>
        </w:rPr>
        <w:t>s</w:t>
      </w:r>
      <w:r w:rsidR="00641A75" w:rsidRPr="00951830">
        <w:rPr>
          <w:rFonts w:ascii="Roboto" w:hAnsi="Roboto" w:cstheme="minorHAnsi"/>
          <w:color w:val="1C1E21"/>
          <w:sz w:val="22"/>
          <w:szCs w:val="22"/>
        </w:rPr>
        <w:t xml:space="preserve"> présentant un excédent financier accumulé non affecté supérieur à 25% de </w:t>
      </w:r>
      <w:r w:rsidR="00DC7033" w:rsidRPr="00951830">
        <w:rPr>
          <w:rFonts w:ascii="Roboto" w:hAnsi="Roboto" w:cstheme="minorHAnsi"/>
          <w:color w:val="1C1E21"/>
          <w:sz w:val="22"/>
          <w:szCs w:val="22"/>
        </w:rPr>
        <w:t>leurs</w:t>
      </w:r>
      <w:r w:rsidR="00641A75" w:rsidRPr="00951830">
        <w:rPr>
          <w:rFonts w:ascii="Roboto" w:hAnsi="Roboto" w:cstheme="minorHAnsi"/>
          <w:color w:val="1C1E21"/>
          <w:sz w:val="22"/>
          <w:szCs w:val="22"/>
        </w:rPr>
        <w:t xml:space="preserve"> dépenses annuelles ne </w:t>
      </w:r>
      <w:r w:rsidRPr="00951830">
        <w:rPr>
          <w:rFonts w:ascii="Roboto" w:hAnsi="Roboto" w:cstheme="minorHAnsi"/>
          <w:color w:val="1C1E21"/>
          <w:sz w:val="22"/>
          <w:szCs w:val="22"/>
        </w:rPr>
        <w:t xml:space="preserve">seront pas sanctionnés </w:t>
      </w:r>
      <w:r w:rsidR="00FD2AFA" w:rsidRPr="00951830">
        <w:rPr>
          <w:rFonts w:ascii="Roboto" w:hAnsi="Roboto" w:cstheme="minorHAnsi"/>
          <w:color w:val="1C1E21"/>
          <w:sz w:val="22"/>
          <w:szCs w:val="22"/>
        </w:rPr>
        <w:t>cette année</w:t>
      </w:r>
      <w:r w:rsidR="00641A75" w:rsidRPr="00951830">
        <w:rPr>
          <w:rFonts w:ascii="Roboto" w:hAnsi="Roboto" w:cstheme="minorHAnsi"/>
          <w:color w:val="1C1E21"/>
          <w:sz w:val="22"/>
          <w:szCs w:val="22"/>
        </w:rPr>
        <w:t xml:space="preserve"> pour des surplus découlant du contexte de la pandémie.</w:t>
      </w:r>
      <w:r w:rsidR="00FD2AFA" w:rsidRPr="00951830">
        <w:rPr>
          <w:rFonts w:ascii="Roboto" w:hAnsi="Roboto" w:cstheme="minorHAnsi"/>
          <w:color w:val="1C1E21"/>
          <w:sz w:val="22"/>
          <w:szCs w:val="22"/>
        </w:rPr>
        <w:t xml:space="preserve"> Nous vous conseillons tout de même</w:t>
      </w:r>
      <w:r w:rsidR="00E252B1" w:rsidRPr="00951830">
        <w:rPr>
          <w:rFonts w:ascii="Roboto" w:hAnsi="Roboto" w:cstheme="minorHAnsi"/>
          <w:color w:val="1C1E21"/>
          <w:sz w:val="22"/>
          <w:szCs w:val="22"/>
        </w:rPr>
        <w:t xml:space="preserve"> d’être prudents et de faire des affectations, si vous le pouvez.</w:t>
      </w:r>
    </w:p>
    <w:p w14:paraId="7D9B7ECA" w14:textId="35230D09" w:rsidR="00641A75" w:rsidRPr="00951830" w:rsidRDefault="00641A75">
      <w:pPr>
        <w:rPr>
          <w:rFonts w:ascii="Roboto" w:eastAsia="Times New Roman" w:hAnsi="Roboto" w:cstheme="minorHAnsi"/>
          <w:color w:val="1C1E21"/>
          <w:lang w:eastAsia="fr-CA"/>
        </w:rPr>
      </w:pPr>
    </w:p>
    <w:sectPr w:rsidR="00641A75" w:rsidRPr="00951830" w:rsidSect="00A65F79">
      <w:headerReference w:type="default" r:id="rId7"/>
      <w:pgSz w:w="12240" w:h="15840"/>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8639" w14:textId="77777777" w:rsidR="004E6404" w:rsidRDefault="004E6404" w:rsidP="004E6404">
      <w:pPr>
        <w:spacing w:after="0" w:line="240" w:lineRule="auto"/>
      </w:pPr>
      <w:r>
        <w:separator/>
      </w:r>
    </w:p>
  </w:endnote>
  <w:endnote w:type="continuationSeparator" w:id="0">
    <w:p w14:paraId="364AF5D9" w14:textId="77777777" w:rsidR="004E6404" w:rsidRDefault="004E6404" w:rsidP="004E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C46E" w14:textId="77777777" w:rsidR="004E6404" w:rsidRDefault="004E6404" w:rsidP="004E6404">
      <w:pPr>
        <w:spacing w:after="0" w:line="240" w:lineRule="auto"/>
      </w:pPr>
      <w:r>
        <w:separator/>
      </w:r>
    </w:p>
  </w:footnote>
  <w:footnote w:type="continuationSeparator" w:id="0">
    <w:p w14:paraId="49D1ADE9" w14:textId="77777777" w:rsidR="004E6404" w:rsidRDefault="004E6404" w:rsidP="004E6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94FC" w14:textId="74089981" w:rsidR="004E6404" w:rsidRPr="004E6404" w:rsidRDefault="004E6404" w:rsidP="004E6404">
    <w:pPr>
      <w:pStyle w:val="En-tte"/>
    </w:pPr>
    <w:r>
      <w:rPr>
        <w:noProof/>
        <w:lang w:eastAsia="fr-CA"/>
      </w:rPr>
      <w:drawing>
        <wp:anchor distT="0" distB="0" distL="114300" distR="114300" simplePos="0" relativeHeight="251658240" behindDoc="1" locked="0" layoutInCell="1" allowOverlap="1" wp14:anchorId="7E8B1B3C" wp14:editId="0666381A">
          <wp:simplePos x="0" y="0"/>
          <wp:positionH relativeFrom="column">
            <wp:posOffset>-556260</wp:posOffset>
          </wp:positionH>
          <wp:positionV relativeFrom="paragraph">
            <wp:posOffset>-191603</wp:posOffset>
          </wp:positionV>
          <wp:extent cx="4305300" cy="816443"/>
          <wp:effectExtent l="0" t="0" r="0" b="0"/>
          <wp:wrapNone/>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9576" cy="8210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9F4"/>
    <w:multiLevelType w:val="hybridMultilevel"/>
    <w:tmpl w:val="0AFEED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DE7C8B"/>
    <w:multiLevelType w:val="hybridMultilevel"/>
    <w:tmpl w:val="40C66CDA"/>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E508B1"/>
    <w:multiLevelType w:val="hybridMultilevel"/>
    <w:tmpl w:val="4F3AC18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5A26141"/>
    <w:multiLevelType w:val="multilevel"/>
    <w:tmpl w:val="A092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7063B"/>
    <w:multiLevelType w:val="multilevel"/>
    <w:tmpl w:val="6256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94AD9"/>
    <w:multiLevelType w:val="multilevel"/>
    <w:tmpl w:val="357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504A9"/>
    <w:multiLevelType w:val="hybridMultilevel"/>
    <w:tmpl w:val="012E9A7E"/>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lvlOverride w:ilvl="0">
      <w:lvl w:ilvl="0">
        <w:numFmt w:val="bullet"/>
        <w:lvlText w:val=""/>
        <w:lvlJc w:val="left"/>
        <w:pPr>
          <w:tabs>
            <w:tab w:val="num" w:pos="2487"/>
          </w:tabs>
          <w:ind w:left="2487"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75"/>
    <w:rsid w:val="000540B6"/>
    <w:rsid w:val="000F4050"/>
    <w:rsid w:val="001E5C90"/>
    <w:rsid w:val="00234D05"/>
    <w:rsid w:val="002E6EC0"/>
    <w:rsid w:val="00330604"/>
    <w:rsid w:val="003875DC"/>
    <w:rsid w:val="0039626D"/>
    <w:rsid w:val="003B3517"/>
    <w:rsid w:val="004E6404"/>
    <w:rsid w:val="0057565A"/>
    <w:rsid w:val="00641A75"/>
    <w:rsid w:val="0065491F"/>
    <w:rsid w:val="00677230"/>
    <w:rsid w:val="00951830"/>
    <w:rsid w:val="009808DD"/>
    <w:rsid w:val="00A65F79"/>
    <w:rsid w:val="00AE01E3"/>
    <w:rsid w:val="00BB5235"/>
    <w:rsid w:val="00D82BE0"/>
    <w:rsid w:val="00D91978"/>
    <w:rsid w:val="00DC7033"/>
    <w:rsid w:val="00E252B1"/>
    <w:rsid w:val="00FD2AFA"/>
    <w:rsid w:val="00FE34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D546A"/>
  <w15:chartTrackingRefBased/>
  <w15:docId w15:val="{926DA9B5-64A2-4AC1-B548-CDADF1ED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1A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6qdm">
    <w:name w:val="_6qdm"/>
    <w:basedOn w:val="Policepardfaut"/>
    <w:rsid w:val="00641A75"/>
  </w:style>
  <w:style w:type="character" w:customStyle="1" w:styleId="textexposedshow">
    <w:name w:val="text_exposed_show"/>
    <w:basedOn w:val="Policepardfaut"/>
    <w:rsid w:val="00641A75"/>
  </w:style>
  <w:style w:type="paragraph" w:styleId="Paragraphedeliste">
    <w:name w:val="List Paragraph"/>
    <w:basedOn w:val="Normal"/>
    <w:uiPriority w:val="34"/>
    <w:qFormat/>
    <w:rsid w:val="002E6EC0"/>
    <w:pPr>
      <w:ind w:left="720"/>
      <w:contextualSpacing/>
    </w:pPr>
  </w:style>
  <w:style w:type="character" w:styleId="Lienhypertexte">
    <w:name w:val="Hyperlink"/>
    <w:basedOn w:val="Policepardfaut"/>
    <w:uiPriority w:val="99"/>
    <w:unhideWhenUsed/>
    <w:rsid w:val="00BB5235"/>
    <w:rPr>
      <w:color w:val="0563C1" w:themeColor="hyperlink"/>
      <w:u w:val="single"/>
    </w:rPr>
  </w:style>
  <w:style w:type="character" w:customStyle="1" w:styleId="Mentionnonrsolue1">
    <w:name w:val="Mention non résolue1"/>
    <w:basedOn w:val="Policepardfaut"/>
    <w:uiPriority w:val="99"/>
    <w:semiHidden/>
    <w:unhideWhenUsed/>
    <w:rsid w:val="00BB5235"/>
    <w:rPr>
      <w:color w:val="605E5C"/>
      <w:shd w:val="clear" w:color="auto" w:fill="E1DFDD"/>
    </w:rPr>
  </w:style>
  <w:style w:type="character" w:styleId="lev">
    <w:name w:val="Strong"/>
    <w:basedOn w:val="Policepardfaut"/>
    <w:uiPriority w:val="22"/>
    <w:qFormat/>
    <w:rsid w:val="003875DC"/>
    <w:rPr>
      <w:b/>
      <w:bCs/>
    </w:rPr>
  </w:style>
  <w:style w:type="paragraph" w:styleId="En-tte">
    <w:name w:val="header"/>
    <w:basedOn w:val="Normal"/>
    <w:link w:val="En-tteCar"/>
    <w:uiPriority w:val="99"/>
    <w:unhideWhenUsed/>
    <w:rsid w:val="004E6404"/>
    <w:pPr>
      <w:tabs>
        <w:tab w:val="center" w:pos="4680"/>
        <w:tab w:val="right" w:pos="9360"/>
      </w:tabs>
      <w:spacing w:after="0" w:line="240" w:lineRule="auto"/>
    </w:pPr>
  </w:style>
  <w:style w:type="character" w:customStyle="1" w:styleId="En-tteCar">
    <w:name w:val="En-tête Car"/>
    <w:basedOn w:val="Policepardfaut"/>
    <w:link w:val="En-tte"/>
    <w:uiPriority w:val="99"/>
    <w:rsid w:val="004E6404"/>
  </w:style>
  <w:style w:type="paragraph" w:styleId="Pieddepage">
    <w:name w:val="footer"/>
    <w:basedOn w:val="Normal"/>
    <w:link w:val="PieddepageCar"/>
    <w:uiPriority w:val="99"/>
    <w:unhideWhenUsed/>
    <w:rsid w:val="004E640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E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4571">
      <w:bodyDiv w:val="1"/>
      <w:marLeft w:val="0"/>
      <w:marRight w:val="0"/>
      <w:marTop w:val="0"/>
      <w:marBottom w:val="0"/>
      <w:divBdr>
        <w:top w:val="none" w:sz="0" w:space="0" w:color="auto"/>
        <w:left w:val="none" w:sz="0" w:space="0" w:color="auto"/>
        <w:bottom w:val="none" w:sz="0" w:space="0" w:color="auto"/>
        <w:right w:val="none" w:sz="0" w:space="0" w:color="auto"/>
      </w:divBdr>
    </w:div>
    <w:div w:id="1384594404">
      <w:bodyDiv w:val="1"/>
      <w:marLeft w:val="0"/>
      <w:marRight w:val="0"/>
      <w:marTop w:val="0"/>
      <w:marBottom w:val="0"/>
      <w:divBdr>
        <w:top w:val="none" w:sz="0" w:space="0" w:color="auto"/>
        <w:left w:val="none" w:sz="0" w:space="0" w:color="auto"/>
        <w:bottom w:val="none" w:sz="0" w:space="0" w:color="auto"/>
        <w:right w:val="none" w:sz="0" w:space="0" w:color="auto"/>
      </w:divBdr>
      <w:divsChild>
        <w:div w:id="14308530">
          <w:marLeft w:val="0"/>
          <w:marRight w:val="0"/>
          <w:marTop w:val="0"/>
          <w:marBottom w:val="0"/>
          <w:divBdr>
            <w:top w:val="none" w:sz="0" w:space="0" w:color="auto"/>
            <w:left w:val="none" w:sz="0" w:space="0" w:color="auto"/>
            <w:bottom w:val="none" w:sz="0" w:space="0" w:color="auto"/>
            <w:right w:val="none" w:sz="0" w:space="0" w:color="auto"/>
          </w:divBdr>
        </w:div>
      </w:divsChild>
    </w:div>
    <w:div w:id="1577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348</Words>
  <Characters>1915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Poulin</dc:creator>
  <cp:keywords/>
  <dc:description/>
  <cp:lastModifiedBy>Lucie Poulin</cp:lastModifiedBy>
  <cp:revision>15</cp:revision>
  <dcterms:created xsi:type="dcterms:W3CDTF">2021-05-04T17:54:00Z</dcterms:created>
  <dcterms:modified xsi:type="dcterms:W3CDTF">2021-05-05T17:36:00Z</dcterms:modified>
</cp:coreProperties>
</file>